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9E1F6">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浙银理财琮简</w:t>
      </w:r>
      <w:bookmarkStart w:id="0" w:name="_GoBack"/>
      <w:bookmarkEnd w:id="0"/>
      <w:r>
        <w:rPr>
          <w:rFonts w:hint="eastAsia" w:ascii="方正小标宋简体" w:eastAsia="方正小标宋简体"/>
          <w:color w:val="auto"/>
          <w:sz w:val="36"/>
          <w:szCs w:val="36"/>
          <w:highlight w:val="none"/>
          <w:lang w:val="en-US" w:eastAsia="zh-CN"/>
        </w:rPr>
        <w:t>富春149号</w:t>
      </w:r>
      <w:r>
        <w:rPr>
          <w:rFonts w:hint="eastAsia" w:ascii="方正小标宋简体" w:eastAsia="方正小标宋简体"/>
          <w:color w:val="auto"/>
          <w:sz w:val="36"/>
          <w:szCs w:val="36"/>
          <w:highlight w:val="none"/>
        </w:rPr>
        <w:t>理财产品</w:t>
      </w:r>
    </w:p>
    <w:p w14:paraId="1AA7A91F">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风险揭示书</w:t>
      </w:r>
      <w:r>
        <w:rPr>
          <w:rFonts w:hint="eastAsia" w:ascii="方正小标宋简体" w:eastAsia="方正小标宋简体"/>
          <w:color w:val="auto"/>
          <w:sz w:val="28"/>
          <w:szCs w:val="36"/>
          <w:highlight w:val="none"/>
        </w:rPr>
        <w:t>（202</w:t>
      </w:r>
      <w:r>
        <w:rPr>
          <w:rFonts w:hint="eastAsia" w:ascii="方正小标宋简体" w:eastAsia="方正小标宋简体"/>
          <w:color w:val="auto"/>
          <w:sz w:val="28"/>
          <w:szCs w:val="36"/>
          <w:highlight w:val="none"/>
          <w:lang w:val="en-US" w:eastAsia="zh-CN"/>
        </w:rPr>
        <w:t>601</w:t>
      </w:r>
      <w:r>
        <w:rPr>
          <w:rFonts w:hint="eastAsia" w:ascii="方正小标宋简体" w:eastAsia="方正小标宋简体"/>
          <w:color w:val="auto"/>
          <w:sz w:val="28"/>
          <w:szCs w:val="36"/>
          <w:highlight w:val="none"/>
        </w:rPr>
        <w:t>版</w:t>
      </w:r>
      <w:r>
        <w:rPr>
          <w:rFonts w:ascii="方正小标宋简体" w:eastAsia="方正小标宋简体"/>
          <w:color w:val="auto"/>
          <w:sz w:val="28"/>
          <w:szCs w:val="36"/>
          <w:highlight w:val="none"/>
        </w:rPr>
        <w:t>）</w:t>
      </w:r>
    </w:p>
    <w:p w14:paraId="223A3666">
      <w:pPr>
        <w:spacing w:after="312" w:afterLines="100"/>
        <w:jc w:val="center"/>
        <w:rPr>
          <w:rFonts w:ascii="方正小标宋简体" w:hAnsi="宋体" w:eastAsia="方正小标宋简体"/>
          <w:color w:val="auto"/>
          <w:sz w:val="40"/>
          <w:szCs w:val="44"/>
          <w:highlight w:val="none"/>
        </w:rPr>
      </w:pPr>
      <w:r>
        <w:rPr>
          <w:rFonts w:hint="eastAsia" w:ascii="方正小标宋简体" w:hAnsi="宋体" w:eastAsia="方正小标宋简体"/>
          <w:color w:val="auto"/>
          <w:sz w:val="28"/>
          <w:szCs w:val="30"/>
          <w:highlight w:val="none"/>
        </w:rPr>
        <w:t>理财非存款、产品有风险、投资须谨慎</w:t>
      </w:r>
    </w:p>
    <w:p w14:paraId="68E1F896">
      <w:pPr>
        <w:jc w:val="left"/>
        <w:rPr>
          <w:rFonts w:ascii="仿宋_GB2312" w:eastAsia="仿宋_GB2312"/>
          <w:color w:val="auto"/>
          <w:sz w:val="24"/>
          <w:szCs w:val="24"/>
          <w:highlight w:val="none"/>
        </w:rPr>
      </w:pPr>
      <w:r>
        <w:rPr>
          <w:rFonts w:hint="eastAsia" w:ascii="仿宋_GB2312" w:eastAsia="仿宋_GB2312"/>
          <w:color w:val="auto"/>
          <w:sz w:val="24"/>
          <w:szCs w:val="24"/>
          <w:highlight w:val="none"/>
        </w:rPr>
        <w:t>尊敬的投资者：</w:t>
      </w:r>
    </w:p>
    <w:p w14:paraId="0166F4EF">
      <w:pPr>
        <w:ind w:firstLine="480" w:firstLineChars="200"/>
        <w:rPr>
          <w:rFonts w:ascii="仿宋_GB2312" w:eastAsia="仿宋_GB2312"/>
          <w:b/>
          <w:color w:val="auto"/>
          <w:sz w:val="24"/>
          <w:szCs w:val="24"/>
          <w:highlight w:val="none"/>
        </w:rPr>
      </w:pPr>
      <w:r>
        <w:rPr>
          <w:rFonts w:hint="eastAsia" w:ascii="仿宋_GB2312" w:eastAsia="仿宋_GB2312"/>
          <w:color w:val="auto"/>
          <w:sz w:val="24"/>
          <w:szCs w:val="24"/>
          <w:highlight w:val="none"/>
        </w:rPr>
        <w:t>由于本理财产品在投资运作管理中可能面临各种风险因素，根据监管部门要求和投资者权益保护需要，</w:t>
      </w:r>
      <w:r>
        <w:rPr>
          <w:rFonts w:hint="eastAsia" w:ascii="仿宋_GB2312" w:eastAsia="仿宋_GB2312"/>
          <w:b/>
          <w:color w:val="auto"/>
          <w:sz w:val="24"/>
          <w:szCs w:val="24"/>
          <w:highlight w:val="none"/>
        </w:rPr>
        <w:t>浙银理财有限责任公司（以下简称“浙银</w:t>
      </w:r>
      <w:r>
        <w:rPr>
          <w:rFonts w:ascii="仿宋_GB2312" w:eastAsia="仿宋_GB2312"/>
          <w:b/>
          <w:color w:val="auto"/>
          <w:sz w:val="24"/>
          <w:szCs w:val="24"/>
          <w:highlight w:val="none"/>
        </w:rPr>
        <w:t>理财</w:t>
      </w:r>
      <w:r>
        <w:rPr>
          <w:rFonts w:hint="eastAsia" w:ascii="仿宋_GB2312" w:eastAsia="仿宋_GB2312"/>
          <w:b/>
          <w:color w:val="auto"/>
          <w:sz w:val="24"/>
          <w:szCs w:val="24"/>
          <w:highlight w:val="none"/>
        </w:rPr>
        <w:t>”）作为本理财产品的产品管理人郑重提示您：您在选择投资本理财产品前,请务必仔细阅读本理财产品完整销售文件 (包括本</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风险揭示书</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《产品说明书》《投资</w:t>
      </w:r>
      <w:r>
        <w:rPr>
          <w:rFonts w:ascii="仿宋_GB2312" w:eastAsia="仿宋_GB2312"/>
          <w:b/>
          <w:color w:val="auto"/>
          <w:sz w:val="24"/>
          <w:szCs w:val="24"/>
          <w:highlight w:val="none"/>
        </w:rPr>
        <w:t>协议书</w:t>
      </w:r>
      <w:r>
        <w:rPr>
          <w:rFonts w:hint="eastAsia" w:ascii="仿宋_GB2312" w:eastAsia="仿宋_GB2312"/>
          <w:b/>
          <w:color w:val="auto"/>
          <w:sz w:val="24"/>
          <w:szCs w:val="24"/>
          <w:highlight w:val="none"/>
        </w:rPr>
        <w:t>》《投资者权益须知》《</w:t>
      </w:r>
      <w:r>
        <w:rPr>
          <w:rFonts w:ascii="仿宋_GB2312" w:eastAsia="仿宋_GB2312"/>
          <w:b/>
          <w:color w:val="auto"/>
          <w:sz w:val="24"/>
          <w:szCs w:val="24"/>
          <w:highlight w:val="none"/>
        </w:rPr>
        <w:t>（代理）销售协议书</w:t>
      </w:r>
      <w:r>
        <w:rPr>
          <w:rFonts w:hint="eastAsia" w:ascii="仿宋_GB2312" w:eastAsia="仿宋_GB2312"/>
          <w:b/>
          <w:color w:val="auto"/>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14:paraId="4FCD45F2">
      <w:pPr>
        <w:spacing w:before="240" w:after="240"/>
        <w:ind w:firstLine="480" w:firstLineChars="200"/>
        <w:rPr>
          <w:rFonts w:ascii="黑体" w:hAnsi="黑体" w:eastAsia="黑体"/>
          <w:color w:val="auto"/>
          <w:sz w:val="24"/>
          <w:szCs w:val="24"/>
          <w:highlight w:val="none"/>
        </w:rPr>
      </w:pPr>
      <w:r>
        <w:rPr>
          <w:rFonts w:hint="eastAsia" w:ascii="黑体" w:hAnsi="黑体" w:eastAsia="黑体"/>
          <w:color w:val="auto"/>
          <w:sz w:val="24"/>
          <w:szCs w:val="24"/>
          <w:highlight w:val="none"/>
        </w:rPr>
        <w:t>一、产品风险揭示</w:t>
      </w:r>
    </w:p>
    <w:p w14:paraId="50063293">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本风险揭示书列示的风险指理财产品可能涉及的风险，包括但不限于：</w:t>
      </w:r>
    </w:p>
    <w:p w14:paraId="5FB0C592">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（一）政策风险</w:t>
      </w:r>
    </w:p>
    <w:p w14:paraId="3A551A9E">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527FE119">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（二）信用风险</w:t>
      </w:r>
    </w:p>
    <w:p w14:paraId="2578859B">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14:paraId="5FFCAA5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（三）市场风险</w:t>
      </w:r>
    </w:p>
    <w:p w14:paraId="294833CC">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59548EF2">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（四）流动性风险</w:t>
      </w:r>
    </w:p>
    <w:p w14:paraId="74E21E2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当市场出现极端情况或开放式</w:t>
      </w:r>
      <w:r>
        <w:rPr>
          <w:rFonts w:ascii="仿宋_GB2312" w:hAnsi="宋体" w:eastAsia="仿宋_GB2312" w:cs="宋体"/>
          <w:bCs/>
          <w:color w:val="auto"/>
          <w:kern w:val="0"/>
          <w:sz w:val="24"/>
          <w:szCs w:val="24"/>
          <w:highlight w:val="none"/>
        </w:rPr>
        <w:t>产品</w:t>
      </w:r>
      <w:r>
        <w:rPr>
          <w:rFonts w:hint="eastAsia" w:ascii="仿宋_GB2312" w:hAnsi="宋体" w:eastAsia="仿宋_GB2312" w:cs="宋体"/>
          <w:bCs/>
          <w:color w:val="auto"/>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3DD97B9A">
      <w:pPr>
        <w:ind w:firstLine="482"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投资者在本理财产品说明书约定的封闭期、最短持有期及</w:t>
      </w:r>
      <w:r>
        <w:rPr>
          <w:rFonts w:ascii="仿宋_GB2312" w:hAnsi="宋体" w:eastAsia="仿宋_GB2312" w:cs="宋体"/>
          <w:b/>
          <w:bCs/>
          <w:color w:val="auto"/>
          <w:kern w:val="0"/>
          <w:sz w:val="24"/>
          <w:szCs w:val="24"/>
          <w:highlight w:val="none"/>
        </w:rPr>
        <w:t>/或其他不可赎回时段内不享有提前赎回权。</w:t>
      </w:r>
      <w:r>
        <w:rPr>
          <w:rFonts w:hint="eastAsia" w:ascii="仿宋_GB2312" w:hAnsi="宋体" w:eastAsia="仿宋_GB2312" w:cs="宋体"/>
          <w:bCs/>
          <w:color w:val="auto"/>
          <w:kern w:val="0"/>
          <w:sz w:val="24"/>
          <w:szCs w:val="24"/>
          <w:highlight w:val="none"/>
        </w:rPr>
        <w:t>如果投资者面临用款需求与其他投资机会，可能因所持有的理财产品不能随时赎回或变现，存在用款需求无法满足或错过其他投资机会的风险。</w:t>
      </w:r>
    </w:p>
    <w:p w14:paraId="44964266">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（五）经营管理风险</w:t>
      </w:r>
    </w:p>
    <w:p w14:paraId="33642293">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在本理财产品运作过程中，投资管理各方受经验、技能、判断力</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rPr>
        <w:t>执行力等综合因素的限制，可能对本理财产品的运作与管理形成一定影响，</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2EC97971">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（六）交易对手风险</w:t>
      </w:r>
    </w:p>
    <w:p w14:paraId="3872E888">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757FFC1D">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（七）操作风险</w:t>
      </w:r>
    </w:p>
    <w:p w14:paraId="7D7D5BAE">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color w:val="auto"/>
          <w:sz w:val="24"/>
          <w:szCs w:val="24"/>
          <w:highlight w:val="none"/>
        </w:rPr>
        <w:t>操作失误</w:t>
      </w:r>
      <w:r>
        <w:rPr>
          <w:rFonts w:hint="eastAsia" w:ascii="仿宋_GB2312" w:hAnsi="仿宋_GB2312" w:eastAsia="仿宋_GB2312" w:cs="仿宋_GB2312"/>
          <w:color w:val="auto"/>
          <w:sz w:val="24"/>
          <w:szCs w:val="24"/>
          <w:highlight w:val="none"/>
        </w:rPr>
        <w:t>或</w:t>
      </w:r>
      <w:r>
        <w:rPr>
          <w:rFonts w:ascii="仿宋_GB2312" w:hAnsi="仿宋_GB2312" w:eastAsia="仿宋_GB2312" w:cs="仿宋_GB2312"/>
          <w:color w:val="auto"/>
          <w:sz w:val="24"/>
          <w:szCs w:val="24"/>
          <w:highlight w:val="none"/>
        </w:rPr>
        <w:t>违反操作规程等引起的风险，</w:t>
      </w:r>
      <w:r>
        <w:rPr>
          <w:rFonts w:hint="eastAsia" w:ascii="仿宋_GB2312" w:hAnsi="仿宋_GB2312" w:eastAsia="仿宋_GB2312" w:cs="仿宋_GB2312"/>
          <w:color w:val="auto"/>
          <w:sz w:val="24"/>
          <w:szCs w:val="24"/>
          <w:highlight w:val="none"/>
        </w:rPr>
        <w:t>如内部作业、人员管理、系统操作及事务处理不当或失误等，则投资者可能面临本金和收益遭受部分甚至全部损失的风险。</w:t>
      </w:r>
    </w:p>
    <w:p w14:paraId="5AE5EF2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（八）代销风险（如有）</w:t>
      </w:r>
    </w:p>
    <w:p w14:paraId="60E3C63D">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color w:val="auto"/>
          <w:sz w:val="24"/>
          <w:szCs w:val="24"/>
          <w:highlight w:val="none"/>
        </w:rPr>
        <w:t>/终止</w:t>
      </w:r>
      <w:r>
        <w:rPr>
          <w:rFonts w:hint="eastAsia" w:ascii="仿宋_GB2312" w:hAnsi="仿宋_GB2312" w:eastAsia="仿宋_GB2312" w:cs="仿宋_GB2312"/>
          <w:color w:val="auto"/>
          <w:sz w:val="24"/>
          <w:szCs w:val="24"/>
          <w:highlight w:val="none"/>
        </w:rPr>
        <w:t>/赎回</w:t>
      </w:r>
      <w:r>
        <w:rPr>
          <w:rFonts w:ascii="仿宋_GB2312" w:hAnsi="仿宋_GB2312" w:eastAsia="仿宋_GB2312" w:cs="仿宋_GB2312"/>
          <w:color w:val="auto"/>
          <w:sz w:val="24"/>
          <w:szCs w:val="24"/>
          <w:highlight w:val="none"/>
        </w:rPr>
        <w:t>时理财本金及收益相应款项由产品管理人按理财产品销售文件约定划付至</w:t>
      </w:r>
      <w:r>
        <w:rPr>
          <w:rFonts w:hint="eastAsia" w:ascii="仿宋_GB2312" w:hAnsi="仿宋_GB2312" w:eastAsia="仿宋_GB2312" w:cs="仿宋_GB2312"/>
          <w:color w:val="auto"/>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493BA3C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（九）募集期延长</w:t>
      </w:r>
      <w:r>
        <w:rPr>
          <w:rFonts w:ascii="仿宋_GB2312" w:hAnsi="宋体" w:eastAsia="仿宋_GB2312" w:cs="宋体"/>
          <w:b/>
          <w:bCs/>
          <w:color w:val="auto"/>
          <w:kern w:val="0"/>
          <w:sz w:val="24"/>
          <w:szCs w:val="24"/>
          <w:highlight w:val="none"/>
        </w:rPr>
        <w:t>/缩短</w:t>
      </w:r>
      <w:r>
        <w:rPr>
          <w:rFonts w:hint="eastAsia" w:ascii="仿宋_GB2312" w:hAnsi="宋体" w:eastAsia="仿宋_GB2312" w:cs="宋体"/>
          <w:b/>
          <w:bCs/>
          <w:color w:val="auto"/>
          <w:kern w:val="0"/>
          <w:sz w:val="24"/>
          <w:szCs w:val="24"/>
          <w:highlight w:val="none"/>
        </w:rPr>
        <w:t>风险</w:t>
      </w:r>
    </w:p>
    <w:p w14:paraId="445A143E">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募集期的情形，产品管理人有权宣布本理财产品募集期延长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，本理财产品可能延后/提前成立。</w:t>
      </w:r>
    </w:p>
    <w:p w14:paraId="63E8E0BE">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（十）产品不成立风险</w:t>
      </w:r>
    </w:p>
    <w:p w14:paraId="4B965405">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1A332F2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（十一）提前终止风险</w:t>
      </w:r>
    </w:p>
    <w:p w14:paraId="33B45156">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4BC4E497">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（十二）延期分配风险</w:t>
      </w:r>
    </w:p>
    <w:p w14:paraId="64DE2AC2">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0320AC45">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（十三）信息传递风险</w:t>
      </w:r>
    </w:p>
    <w:p w14:paraId="30BF84CA">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auto"/>
          <w:kern w:val="0"/>
          <w:sz w:val="24"/>
          <w:szCs w:val="24"/>
          <w:highlight w:val="none"/>
        </w:rPr>
        <w:t>如投资者未及时查询相关信息或由于不可抗力</w:t>
      </w:r>
      <w:r>
        <w:rPr>
          <w:rFonts w:hint="eastAsia" w:ascii="仿宋_GB2312" w:hAnsi="宋体" w:eastAsia="仿宋_GB2312" w:cs="宋体"/>
          <w:bCs/>
          <w:color w:val="auto"/>
          <w:kern w:val="0"/>
          <w:sz w:val="24"/>
          <w:szCs w:val="24"/>
          <w:highlight w:val="none"/>
        </w:rPr>
        <w:t>（包括但不限于政府行为、自然灾害、疫情等）</w:t>
      </w:r>
      <w:r>
        <w:rPr>
          <w:rFonts w:hint="eastAsia" w:ascii="仿宋_GB2312" w:hAnsi="宋体" w:eastAsia="仿宋_GB2312" w:cs="宋体"/>
          <w:b/>
          <w:bCs/>
          <w:color w:val="auto"/>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04FFC72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（十四）关联关系及关联交易风险</w:t>
      </w:r>
    </w:p>
    <w:p w14:paraId="2499964C">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auto"/>
          <w:kern w:val="0"/>
          <w:sz w:val="24"/>
          <w:szCs w:val="24"/>
          <w:highlight w:val="none"/>
        </w:rPr>
        <w:t>双方存在关联关系。</w:t>
      </w:r>
    </w:p>
    <w:p w14:paraId="615428FD">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auto"/>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14:paraId="7FFFDBE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（十五）再投资风险</w:t>
      </w:r>
    </w:p>
    <w:p w14:paraId="1C0289F4">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由于浙银理财有权根据市场状况和产品余额情况提前终止本理财产品，因市场利率下滑，投资者可能面临本金和收益再投资收益率降低的风险。</w:t>
      </w:r>
    </w:p>
    <w:p w14:paraId="0E92DB5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（十六）估值风险</w:t>
      </w:r>
    </w:p>
    <w:p w14:paraId="0AD78310">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18EE45A2">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549A579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（十七）托管及清算风险</w:t>
      </w:r>
    </w:p>
    <w:p w14:paraId="21C67EAD">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本理财产品存在托管人，若因托管人操作失误或因任何原因未能按约履行托管人职责，或丧失进行托管的能力或法定资格，均可能给本理财产品带来风险。</w:t>
      </w:r>
    </w:p>
    <w:p w14:paraId="705E831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（十八）税务风险</w:t>
      </w:r>
    </w:p>
    <w:p w14:paraId="0B0E549E">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27F5C0D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（十九）不同理财产品份额类别存在差异的风险</w:t>
      </w:r>
    </w:p>
    <w:p w14:paraId="6AA336AA">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auto"/>
          <w:kern w:val="0"/>
          <w:sz w:val="24"/>
          <w:szCs w:val="24"/>
          <w:highlight w:val="none"/>
        </w:rPr>
        <w:t>占比</w:t>
      </w:r>
      <w:r>
        <w:rPr>
          <w:rFonts w:hint="eastAsia" w:ascii="仿宋_GB2312" w:hAnsi="宋体" w:eastAsia="仿宋_GB2312" w:cs="宋体"/>
          <w:color w:val="auto"/>
          <w:kern w:val="0"/>
          <w:sz w:val="24"/>
          <w:szCs w:val="24"/>
          <w:highlight w:val="none"/>
        </w:rPr>
        <w:t>上限、产品规模上限、产品份额净值的计算结果及信息披露等方面存在差异。</w:t>
      </w:r>
    </w:p>
    <w:p w14:paraId="48CA27A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（二十）其他风险</w:t>
      </w:r>
    </w:p>
    <w:p w14:paraId="75F8807F">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3644C29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14:paraId="7030FCF8">
      <w:pPr>
        <w:spacing w:before="240" w:after="240"/>
        <w:ind w:firstLine="480" w:firstLineChars="200"/>
        <w:rPr>
          <w:rFonts w:ascii="黑体" w:hAnsi="黑体" w:eastAsia="黑体" w:cs="宋体"/>
          <w:bCs/>
          <w:color w:val="auto"/>
          <w:kern w:val="0"/>
          <w:sz w:val="24"/>
          <w:szCs w:val="24"/>
          <w:highlight w:val="none"/>
        </w:rPr>
      </w:pPr>
      <w:r>
        <w:rPr>
          <w:rFonts w:hint="eastAsia" w:ascii="黑体" w:hAnsi="黑体" w:eastAsia="黑体" w:cs="宋体"/>
          <w:bCs/>
          <w:color w:val="auto"/>
          <w:kern w:val="0"/>
          <w:sz w:val="24"/>
          <w:szCs w:val="24"/>
          <w:highlight w:val="none"/>
        </w:rPr>
        <w:t>二、投资者提示</w:t>
      </w:r>
    </w:p>
    <w:p w14:paraId="5969EDD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（一）理财非存款、产品有风险、投资须谨慎。</w:t>
      </w:r>
    </w:p>
    <w:p w14:paraId="4FC4511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（二）本理财产品不受存款保险及其他保障机制的保障。</w:t>
      </w:r>
    </w:p>
    <w:p w14:paraId="791051E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（三）本理财产品不保证本金及收益，您的本金可能因为市场变动而蒙受相应损失。投资者应充分认识投资风险。</w:t>
      </w:r>
    </w:p>
    <w:p w14:paraId="0CBE647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（四）本理财产品业绩比较基准（如有）、过往历史业绩均不代表其业绩承诺或未来表现，不等于投资本理财产品未来实际收益，投资须谨慎。</w:t>
      </w:r>
    </w:p>
    <w:p w14:paraId="5D16DFA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7DF4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2776873B">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14:paraId="04177C27">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w:t>
            </w:r>
            <w:r>
              <w:rPr>
                <w:rFonts w:hint="eastAsia" w:ascii="仿宋_GB2312" w:hAnsi="宋体" w:eastAsia="仿宋_GB2312" w:cs="宋体"/>
                <w:b/>
                <w:bCs/>
                <w:color w:val="auto"/>
                <w:kern w:val="0"/>
                <w:sz w:val="24"/>
                <w:szCs w:val="24"/>
                <w:highlight w:val="none"/>
                <w:lang w:val="en-US" w:eastAsia="zh-CN"/>
              </w:rPr>
              <w:t>公</w:t>
            </w:r>
            <w:r>
              <w:rPr>
                <w:rFonts w:hint="eastAsia" w:ascii="仿宋_GB2312" w:hAnsi="宋体" w:eastAsia="仿宋_GB2312" w:cs="宋体"/>
                <w:b/>
                <w:bCs/>
                <w:color w:val="auto"/>
                <w:kern w:val="0"/>
                <w:sz w:val="24"/>
                <w:szCs w:val="24"/>
                <w:highlight w:val="none"/>
              </w:rPr>
              <w:t>募】、</w:t>
            </w:r>
            <w:r>
              <w:rPr>
                <w:rFonts w:hint="eastAsia" w:ascii="仿宋_GB2312" w:hAnsi="宋体" w:eastAsia="仿宋_GB2312" w:cs="宋体"/>
                <w:b/>
                <w:bCs/>
                <w:color w:val="auto"/>
                <w:kern w:val="0"/>
                <w:sz w:val="24"/>
                <w:szCs w:val="24"/>
                <w:highlight w:val="none"/>
                <w:lang w:val="en-US" w:eastAsia="zh-CN"/>
              </w:rPr>
              <w:t>封闭式</w:t>
            </w:r>
            <w:r>
              <w:rPr>
                <w:rFonts w:hint="eastAsia" w:ascii="仿宋_GB2312" w:hAnsi="宋体" w:eastAsia="仿宋_GB2312" w:cs="宋体"/>
                <w:b/>
                <w:bCs/>
                <w:color w:val="auto"/>
                <w:kern w:val="0"/>
                <w:sz w:val="24"/>
                <w:szCs w:val="24"/>
                <w:highlight w:val="none"/>
              </w:rPr>
              <w:t>、固定收益类</w:t>
            </w:r>
          </w:p>
        </w:tc>
      </w:tr>
      <w:tr w14:paraId="51E8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226BF51">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14:paraId="6474B3A8">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w:t>
            </w:r>
            <w:r>
              <w:rPr>
                <w:rFonts w:hint="eastAsia" w:ascii="仿宋_GB2312" w:hAnsi="宋体" w:eastAsia="仿宋_GB2312" w:cs="宋体"/>
                <w:b/>
                <w:bCs/>
                <w:color w:val="auto"/>
                <w:kern w:val="0"/>
                <w:sz w:val="24"/>
                <w:szCs w:val="24"/>
                <w:highlight w:val="none"/>
                <w:lang w:val="en-US" w:eastAsia="zh-CN"/>
              </w:rPr>
              <w:t>390</w:t>
            </w:r>
            <w:r>
              <w:rPr>
                <w:rFonts w:hint="eastAsia" w:ascii="仿宋_GB2312" w:hAnsi="宋体" w:eastAsia="仿宋_GB2312" w:cs="宋体"/>
                <w:b/>
                <w:bCs/>
                <w:color w:val="auto"/>
                <w:kern w:val="0"/>
                <w:sz w:val="24"/>
                <w:szCs w:val="24"/>
                <w:highlight w:val="none"/>
              </w:rPr>
              <w:t>】天（若本理财产品提前终止或延期终止，以实际到期日计算持有天数）；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14:paraId="5389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0B1D0F7">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14:paraId="56B65729">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
                <w:bCs w:val="0"/>
                <w:color w:val="auto"/>
                <w:kern w:val="0"/>
                <w:sz w:val="24"/>
                <w:szCs w:val="24"/>
                <w:highlight w:val="none"/>
                <w:lang w:val="en-US"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14:paraId="0309FE3A">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14:paraId="0753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14644891">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14:paraId="0838B7B0">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14:paraId="57BCB2AA">
            <w:pPr>
              <w:snapToGrid w:val="0"/>
              <w:rPr>
                <w:rFonts w:ascii="仿宋_GB2312" w:hAnsi="宋体" w:eastAsia="仿宋_GB2312" w:cs="宋体"/>
                <w:bCs/>
                <w:color w:val="000000" w:themeColor="text1"/>
                <w:kern w:val="0"/>
                <w:sz w:val="24"/>
                <w14:textFill>
                  <w14:solidFill>
                    <w14:schemeClr w14:val="tx1"/>
                  </w14:solidFill>
                </w14:textFill>
              </w:rPr>
            </w:pPr>
            <w:r>
              <w:rPr>
                <w:rFonts w:hint="eastAsia" w:ascii="仿宋_GB2312" w:hAnsi="宋体" w:eastAsia="仿宋_GB2312" w:cs="宋体"/>
                <w:bCs/>
                <w:color w:val="000000" w:themeColor="text1"/>
                <w:kern w:val="0"/>
                <w:sz w:val="24"/>
                <w14:textFill>
                  <w14:solidFill>
                    <w14:schemeClr w14:val="tx1"/>
                  </w14:solidFill>
                </w14:textFill>
              </w:rPr>
              <w:t>不特定社会公众（个人</w:t>
            </w:r>
            <w:r>
              <w:rPr>
                <w:rFonts w:hint="eastAsia" w:ascii="仿宋_GB2312" w:hAnsi="宋体" w:eastAsia="仿宋_GB2312" w:cs="宋体"/>
                <w:bCs/>
                <w:color w:val="000000" w:themeColor="text1"/>
                <w:kern w:val="0"/>
                <w:sz w:val="24"/>
                <w:lang w:eastAsia="zh-CN"/>
                <w14:textFill>
                  <w14:solidFill>
                    <w14:schemeClr w14:val="tx1"/>
                  </w14:solidFill>
                </w14:textFill>
              </w:rPr>
              <w:t>、</w:t>
            </w:r>
            <w:r>
              <w:rPr>
                <w:rFonts w:hint="eastAsia" w:ascii="仿宋_GB2312" w:hAnsi="宋体" w:eastAsia="仿宋_GB2312" w:cs="宋体"/>
                <w:bCs/>
                <w:color w:val="000000" w:themeColor="text1"/>
                <w:kern w:val="0"/>
                <w:sz w:val="24"/>
                <w:lang w:val="en-US" w:eastAsia="zh-CN"/>
                <w14:textFill>
                  <w14:solidFill>
                    <w14:schemeClr w14:val="tx1"/>
                  </w14:solidFill>
                </w14:textFill>
              </w:rPr>
              <w:t>机构</w:t>
            </w:r>
            <w:r>
              <w:rPr>
                <w:rFonts w:hint="eastAsia" w:ascii="仿宋_GB2312" w:hAnsi="宋体" w:eastAsia="仿宋_GB2312" w:cs="宋体"/>
                <w:bCs/>
                <w:color w:val="000000" w:themeColor="text1"/>
                <w:kern w:val="0"/>
                <w:sz w:val="24"/>
                <w14:textFill>
                  <w14:solidFill>
                    <w14:schemeClr w14:val="tx1"/>
                  </w14:solidFill>
                </w14:textFill>
              </w:rPr>
              <w:t>投资者）；其中，普通投资者应符合相关法律法规、监管规定，经销售机构评估评定投资者风险承受能力与本产品风险等级相适应。</w:t>
            </w:r>
          </w:p>
          <w:p w14:paraId="60A7DF95">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000000" w:themeColor="text1"/>
                <w:kern w:val="0"/>
                <w:sz w:val="24"/>
                <w14:textFill>
                  <w14:solidFill>
                    <w14:schemeClr w14:val="tx1"/>
                  </w14:solidFill>
                </w14:textFill>
              </w:rPr>
              <w:t>本产品通过销售机构销售的，产品风险等级应当以销售机构最终披露的评级结果为准。</w:t>
            </w:r>
          </w:p>
        </w:tc>
      </w:tr>
      <w:tr w14:paraId="6E6A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267B5B0">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14:paraId="592B9634">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w:t>
            </w:r>
            <w:r>
              <w:rPr>
                <w:rFonts w:hint="eastAsia" w:ascii="仿宋_GB2312" w:hAnsi="宋体" w:eastAsia="仿宋_GB2312" w:cs="宋体"/>
                <w:b/>
                <w:bCs/>
                <w:color w:val="auto"/>
                <w:kern w:val="0"/>
                <w:sz w:val="24"/>
                <w:szCs w:val="24"/>
                <w:highlight w:val="none"/>
                <w:lang w:val="en-US" w:eastAsia="zh-CN"/>
              </w:rPr>
              <w:t>0</w:t>
            </w:r>
            <w:r>
              <w:rPr>
                <w:rFonts w:hint="eastAsia" w:ascii="仿宋_GB2312" w:hAnsi="宋体" w:eastAsia="仿宋_GB2312" w:cs="宋体"/>
                <w:b/>
                <w:bCs/>
                <w:color w:val="auto"/>
                <w:kern w:val="0"/>
                <w:sz w:val="24"/>
                <w:szCs w:val="24"/>
                <w:highlight w:val="none"/>
              </w:rPr>
              <w:t>】万元人民币，如本理财产品投资资产出现市场价格剧烈波动或发行人违约等情形，在最不利的情况下，本理财产品投资组合全部亏损的，本理财产品收益为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bl>
    <w:p w14:paraId="6BCC64F4">
      <w:pPr>
        <w:spacing w:before="240"/>
        <w:ind w:firstLine="480"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Cs/>
          <w:color w:val="auto"/>
          <w:kern w:val="0"/>
          <w:sz w:val="24"/>
          <w:szCs w:val="24"/>
          <w:highlight w:val="none"/>
        </w:rPr>
        <w:t>（六）</w:t>
      </w:r>
      <w:r>
        <w:rPr>
          <w:rFonts w:hint="eastAsia" w:ascii="仿宋_GB2312" w:hAnsi="宋体" w:eastAsia="仿宋_GB2312" w:cs="宋体"/>
          <w:b/>
          <w:bCs/>
          <w:color w:val="auto"/>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color w:val="auto"/>
          <w:kern w:val="0"/>
          <w:sz w:val="24"/>
          <w:szCs w:val="24"/>
          <w:highlight w:val="none"/>
          <w:u w:val="single"/>
        </w:rPr>
        <w:t>如普通投资者的风险承受能力评估已超过一年，或影响风险承受能力的因素发生变化，请及时完成风险承受能力的重新评估，并对评估结果签字确认。</w:t>
      </w:r>
    </w:p>
    <w:p w14:paraId="0DE9D49C">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color w:val="auto"/>
          <w:kern w:val="0"/>
          <w:sz w:val="24"/>
          <w:szCs w:val="24"/>
          <w:highlight w:val="none"/>
        </w:rPr>
        <w:t>投资者通过销售机构线上</w:t>
      </w:r>
      <w:r>
        <w:rPr>
          <w:rFonts w:ascii="仿宋_GB2312" w:hAnsi="宋体" w:eastAsia="仿宋_GB2312" w:cs="宋体"/>
          <w:b/>
          <w:bCs/>
          <w:color w:val="auto"/>
          <w:kern w:val="0"/>
          <w:sz w:val="24"/>
          <w:szCs w:val="24"/>
          <w:highlight w:val="none"/>
        </w:rPr>
        <w:t>/线下渠道成功认购/申购/投资本理财产品，即同意本理财产品销售文件的约定并将资金委托浙银理财投资运作，是投资者真实意愿的充分表达。</w:t>
      </w:r>
    </w:p>
    <w:p w14:paraId="67B9B7A7">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color w:val="auto"/>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14:paraId="50B31A3A">
      <w:pPr>
        <w:ind w:firstLine="480" w:firstLineChars="200"/>
        <w:jc w:val="right"/>
        <w:rPr>
          <w:rFonts w:ascii="仿宋_GB2312" w:hAnsi="宋体" w:eastAsia="仿宋_GB2312" w:cs="宋体"/>
          <w:bCs/>
          <w:color w:val="auto"/>
          <w:kern w:val="0"/>
          <w:sz w:val="24"/>
          <w:szCs w:val="24"/>
          <w:highlight w:val="none"/>
        </w:rPr>
      </w:pPr>
    </w:p>
    <w:p w14:paraId="0F2814A3">
      <w:pPr>
        <w:ind w:firstLine="480" w:firstLineChars="200"/>
        <w:rPr>
          <w:rFonts w:ascii="仿宋_GB2312" w:hAnsi="宋体" w:eastAsia="仿宋_GB2312" w:cs="宋体"/>
          <w:bCs/>
          <w:color w:val="auto"/>
          <w:kern w:val="0"/>
          <w:sz w:val="24"/>
          <w:szCs w:val="24"/>
          <w:highlight w:val="none"/>
        </w:rPr>
      </w:pPr>
    </w:p>
    <w:p w14:paraId="6542A042">
      <w:pPr>
        <w:ind w:firstLine="480" w:firstLineChars="200"/>
        <w:rPr>
          <w:rFonts w:ascii="仿宋_GB2312" w:hAnsi="宋体" w:eastAsia="仿宋_GB2312" w:cs="宋体"/>
          <w:bCs/>
          <w:color w:val="auto"/>
          <w:kern w:val="0"/>
          <w:sz w:val="24"/>
          <w:szCs w:val="24"/>
          <w:highlight w:val="none"/>
        </w:rPr>
      </w:pPr>
    </w:p>
    <w:p w14:paraId="3B5E0AF4">
      <w:pPr>
        <w:ind w:firstLine="480" w:firstLineChars="200"/>
        <w:rPr>
          <w:rFonts w:ascii="仿宋_GB2312" w:hAnsi="宋体" w:eastAsia="仿宋_GB2312" w:cs="宋体"/>
          <w:bCs/>
          <w:color w:val="auto"/>
          <w:kern w:val="0"/>
          <w:sz w:val="24"/>
          <w:szCs w:val="24"/>
          <w:highlight w:val="none"/>
        </w:rPr>
      </w:pPr>
    </w:p>
    <w:p w14:paraId="72515F1B">
      <w:pPr>
        <w:rPr>
          <w:rFonts w:ascii="仿宋_GB2312" w:hAnsi="宋体" w:eastAsia="仿宋_GB2312" w:cs="宋体"/>
          <w:bCs/>
          <w:color w:val="auto"/>
          <w:kern w:val="0"/>
          <w:sz w:val="24"/>
          <w:szCs w:val="24"/>
          <w:highlight w:val="none"/>
        </w:rPr>
      </w:pPr>
    </w:p>
    <w:p w14:paraId="2441985A">
      <w:pPr>
        <w:ind w:firstLine="480" w:firstLineChars="200"/>
        <w:jc w:val="right"/>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风险揭示方：浙银理财有限责任公司</w:t>
      </w:r>
    </w:p>
    <w:p w14:paraId="7DB2D3EC">
      <w:pPr>
        <w:ind w:firstLine="480" w:firstLineChars="200"/>
        <w:jc w:val="right"/>
        <w:rPr>
          <w:rFonts w:ascii="仿宋_GB2312" w:hAnsi="宋体" w:eastAsia="仿宋_GB2312" w:cs="宋体"/>
          <w:bCs/>
          <w:color w:val="auto"/>
          <w:kern w:val="0"/>
          <w:sz w:val="24"/>
          <w:szCs w:val="24"/>
          <w:highlight w:val="none"/>
        </w:rPr>
      </w:pPr>
    </w:p>
    <w:p w14:paraId="3360034B">
      <w:pPr>
        <w:ind w:firstLine="480" w:firstLineChars="200"/>
        <w:rPr>
          <w:rFonts w:ascii="仿宋_GB2312" w:hAnsi="宋体" w:eastAsia="仿宋_GB2312" w:cs="宋体"/>
          <w:bCs/>
          <w:color w:val="auto"/>
          <w:kern w:val="0"/>
          <w:sz w:val="24"/>
          <w:szCs w:val="24"/>
          <w:highlight w:val="none"/>
        </w:rPr>
      </w:pPr>
    </w:p>
    <w:p w14:paraId="40932142">
      <w:pPr>
        <w:ind w:firstLine="480" w:firstLineChars="200"/>
        <w:rPr>
          <w:rFonts w:ascii="仿宋_GB2312" w:hAnsi="宋体" w:eastAsia="仿宋_GB2312" w:cs="宋体"/>
          <w:bCs/>
          <w:color w:val="auto"/>
          <w:kern w:val="0"/>
          <w:sz w:val="28"/>
          <w:szCs w:val="30"/>
          <w:highlight w:val="none"/>
        </w:rPr>
      </w:pPr>
      <w:r>
        <w:rPr>
          <w:rFonts w:ascii="仿宋_GB2312" w:hAnsi="宋体" w:eastAsia="仿宋_GB2312" w:cs="宋体"/>
          <w:bCs/>
          <w:color w:val="auto"/>
          <w:kern w:val="0"/>
          <w:sz w:val="24"/>
          <w:szCs w:val="24"/>
          <w:highlight w:val="none"/>
        </w:rPr>
        <w:t>(投资者签字与盖章见下一页)</w:t>
      </w:r>
      <w:r>
        <w:rPr>
          <w:rFonts w:ascii="仿宋_GB2312" w:hAnsi="宋体" w:eastAsia="仿宋_GB2312" w:cs="宋体"/>
          <w:bCs/>
          <w:color w:val="auto"/>
          <w:kern w:val="0"/>
          <w:sz w:val="28"/>
          <w:szCs w:val="30"/>
          <w:highlight w:val="none"/>
        </w:rPr>
        <w:br w:type="page"/>
      </w:r>
    </w:p>
    <w:p w14:paraId="3781EAF1">
      <w:pPr>
        <w:spacing w:after="156" w:afterLines="50" w:line="360" w:lineRule="auto"/>
        <w:jc w:val="center"/>
        <w:rPr>
          <w:rFonts w:ascii="宋体" w:hAnsi="宋体" w:eastAsia="宋体"/>
          <w:color w:val="auto"/>
          <w:sz w:val="36"/>
          <w:szCs w:val="44"/>
          <w:highlight w:val="none"/>
        </w:rPr>
      </w:pPr>
      <w:r>
        <w:rPr>
          <w:rFonts w:hint="eastAsia" w:ascii="宋体" w:hAnsi="宋体" w:eastAsia="宋体"/>
          <w:color w:val="auto"/>
          <w:sz w:val="36"/>
          <w:szCs w:val="44"/>
          <w:highlight w:val="none"/>
        </w:rPr>
        <w:t>投资者确认函</w:t>
      </w:r>
    </w:p>
    <w:p w14:paraId="44502D43">
      <w:pPr>
        <w:spacing w:line="360" w:lineRule="auto"/>
        <w:ind w:firstLine="480" w:firstLineChars="200"/>
        <w:rPr>
          <w:rFonts w:ascii="仿宋_GB2312" w:eastAsia="仿宋_GB2312"/>
          <w:b/>
          <w:color w:val="auto"/>
          <w:sz w:val="24"/>
          <w:highlight w:val="none"/>
        </w:rPr>
      </w:pPr>
      <w:r>
        <w:rPr>
          <w:rFonts w:hint="eastAsia" w:ascii="仿宋_GB2312" w:hAnsi="宋体" w:eastAsia="仿宋_GB2312"/>
          <w:color w:val="auto"/>
          <w:sz w:val="24"/>
          <w:szCs w:val="44"/>
          <w:highlight w:val="none"/>
        </w:rPr>
        <w:t>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本公司确认已经收到本理财产品的风险揭示书，且已经认真阅读</w:t>
      </w:r>
      <w:r>
        <w:rPr>
          <w:rFonts w:hint="eastAsia" w:ascii="仿宋_GB2312" w:hAnsi="宋体" w:eastAsia="仿宋_GB2312"/>
          <w:b/>
          <w:color w:val="auto"/>
          <w:sz w:val="24"/>
          <w:szCs w:val="44"/>
          <w:highlight w:val="none"/>
        </w:rPr>
        <w:t>本理财产品完整销售文件包括：《风险揭示书》《产品说明书》《投资协议书》《投资者权益须知》《（代理）销售协议书》等</w:t>
      </w:r>
      <w:r>
        <w:rPr>
          <w:rFonts w:hint="eastAsia" w:ascii="仿宋_GB2312" w:hAnsi="宋体" w:eastAsia="仿宋_GB2312"/>
          <w:color w:val="auto"/>
          <w:sz w:val="24"/>
          <w:szCs w:val="44"/>
          <w:highlight w:val="none"/>
        </w:rPr>
        <w:t>，充分了解并清楚知晓本理财产品的风险，愿意承担相关风险，接受本理财产品销售文件的全部约定。本人</w:t>
      </w:r>
      <w:r>
        <w:rPr>
          <w:rFonts w:ascii="仿宋_GB2312" w:hAnsi="宋体" w:eastAsia="仿宋_GB2312"/>
          <w:color w:val="auto"/>
          <w:sz w:val="24"/>
          <w:szCs w:val="44"/>
          <w:highlight w:val="none"/>
        </w:rPr>
        <w:t>/本公司确认本理财产品完全适合本人/本公司的投资目标</w:t>
      </w:r>
      <w:r>
        <w:rPr>
          <w:rFonts w:hint="eastAsia" w:ascii="仿宋_GB2312" w:hAnsi="宋体" w:eastAsia="仿宋_GB2312"/>
          <w:color w:val="auto"/>
          <w:sz w:val="24"/>
          <w:szCs w:val="44"/>
          <w:highlight w:val="none"/>
        </w:rPr>
        <w:t>、投资预期、风险承受能力及投资经验。本人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本公司承诺购买本理财产品的投资资金为自有或有权处分的合法资金（包括合法受托管理的资金）。</w:t>
      </w:r>
      <w:r>
        <w:rPr>
          <w:rFonts w:hint="eastAsia" w:ascii="仿宋_GB2312" w:hAnsi="宋体" w:eastAsia="仿宋_GB2312"/>
          <w:b/>
          <w:bCs/>
          <w:color w:val="auto"/>
          <w:sz w:val="24"/>
          <w:szCs w:val="44"/>
          <w:highlight w:val="none"/>
        </w:rPr>
        <w:t>本人</w:t>
      </w:r>
      <w:r>
        <w:rPr>
          <w:rFonts w:ascii="仿宋_GB2312" w:hAnsi="宋体" w:eastAsia="仿宋_GB2312"/>
          <w:b/>
          <w:bCs/>
          <w:color w:val="auto"/>
          <w:sz w:val="24"/>
          <w:szCs w:val="44"/>
          <w:highlight w:val="none"/>
        </w:rPr>
        <w:t>/</w:t>
      </w:r>
      <w:r>
        <w:rPr>
          <w:rFonts w:hint="eastAsia" w:ascii="仿宋_GB2312" w:hAnsi="宋体" w:eastAsia="仿宋_GB2312"/>
          <w:b/>
          <w:bCs/>
          <w:color w:val="auto"/>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color w:val="auto"/>
          <w:sz w:val="24"/>
          <w:szCs w:val="44"/>
          <w:highlight w:val="none"/>
        </w:rPr>
        <w:t>（机构投资者）</w:t>
      </w:r>
      <w:r>
        <w:rPr>
          <w:rFonts w:hint="eastAsia" w:ascii="仿宋_GB2312" w:eastAsia="仿宋_GB2312"/>
          <w:b/>
          <w:bCs/>
          <w:color w:val="auto"/>
          <w:sz w:val="24"/>
          <w:highlight w:val="none"/>
        </w:rPr>
        <w:t>本公司进一步承诺，以自有资金或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购买本理财产品的，已完全知悉并接受本理财产品的投资范围，并确保自有资金或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投资本理财产品符合相关法律法规、监管规定及受托管理</w:t>
      </w:r>
      <w:r>
        <w:rPr>
          <w:rFonts w:hint="eastAsia" w:ascii="仿宋_GB2312" w:hAnsi="宋体" w:eastAsia="仿宋_GB2312"/>
          <w:b/>
          <w:bCs/>
          <w:color w:val="auto"/>
          <w:sz w:val="24"/>
          <w:szCs w:val="44"/>
          <w:highlight w:val="none"/>
        </w:rPr>
        <w:t>资管产品</w:t>
      </w:r>
      <w:r>
        <w:rPr>
          <w:rFonts w:hint="eastAsia" w:ascii="仿宋_GB2312" w:eastAsia="仿宋_GB2312"/>
          <w:b/>
          <w:bCs/>
          <w:color w:val="auto"/>
          <w:sz w:val="24"/>
          <w:highlight w:val="none"/>
        </w:rPr>
        <w:t>的投资范围，不存在违反监管要求的产品嵌套、以投资本理财产品规避投资范围或杠杆约束等违规行为。</w:t>
      </w:r>
      <w:r>
        <w:rPr>
          <w:rFonts w:hint="eastAsia" w:ascii="仿宋_GB2312" w:eastAsia="仿宋_GB2312"/>
          <w:b/>
          <w:color w:val="auto"/>
          <w:sz w:val="24"/>
          <w:highlight w:val="none"/>
        </w:rPr>
        <w:t>投资本理财产品是经过本人/本公司独立判断之后所做出的符合本人/本公司意愿的决定。</w:t>
      </w:r>
    </w:p>
    <w:p w14:paraId="2B2714AF">
      <w:pPr>
        <w:spacing w:line="360" w:lineRule="auto"/>
        <w:ind w:firstLine="482" w:firstLineChars="200"/>
        <w:rPr>
          <w:rFonts w:ascii="仿宋_GB2312" w:eastAsia="仿宋_GB2312"/>
          <w:b/>
          <w:color w:val="auto"/>
          <w:sz w:val="24"/>
          <w:highlight w:val="none"/>
        </w:rPr>
      </w:pPr>
      <w:r>
        <w:rPr>
          <w:rFonts w:hint="eastAsia" w:ascii="仿宋_GB2312" w:hAnsi="宋体" w:eastAsia="仿宋_GB2312"/>
          <w:b/>
          <w:color w:val="auto"/>
          <w:sz w:val="24"/>
          <w:szCs w:val="44"/>
          <w:highlight w:val="none"/>
        </w:rPr>
        <w:t>本</w:t>
      </w:r>
      <w:r>
        <w:rPr>
          <w:rFonts w:ascii="仿宋_GB2312" w:hAnsi="宋体" w:eastAsia="仿宋_GB2312"/>
          <w:b/>
          <w:color w:val="auto"/>
          <w:sz w:val="24"/>
          <w:szCs w:val="44"/>
          <w:highlight w:val="none"/>
        </w:rPr>
        <w:t>理财产品可能委托</w:t>
      </w:r>
      <w:r>
        <w:rPr>
          <w:rFonts w:hint="eastAsia" w:ascii="仿宋_GB2312" w:hAnsi="宋体" w:eastAsia="仿宋_GB2312"/>
          <w:b/>
          <w:color w:val="auto"/>
          <w:sz w:val="24"/>
          <w:szCs w:val="44"/>
          <w:highlight w:val="none"/>
        </w:rPr>
        <w:t>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的</w:t>
      </w:r>
      <w:r>
        <w:rPr>
          <w:rFonts w:ascii="仿宋_GB2312" w:hAnsi="宋体" w:eastAsia="仿宋_GB2312"/>
          <w:b/>
          <w:color w:val="auto"/>
          <w:sz w:val="24"/>
          <w:szCs w:val="44"/>
          <w:highlight w:val="none"/>
        </w:rPr>
        <w:t>关联方【</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进行托管或销售</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系</w:t>
      </w:r>
      <w:r>
        <w:rPr>
          <w:rFonts w:ascii="仿宋_GB2312" w:hAnsi="宋体" w:eastAsia="仿宋_GB2312"/>
          <w:b/>
          <w:color w:val="auto"/>
          <w:sz w:val="24"/>
          <w:szCs w:val="44"/>
          <w:highlight w:val="none"/>
        </w:rPr>
        <w:t>浙银理财的</w:t>
      </w:r>
      <w:r>
        <w:rPr>
          <w:rFonts w:hint="eastAsia" w:ascii="仿宋_GB2312" w:hAnsi="宋体" w:eastAsia="仿宋_GB2312"/>
          <w:b/>
          <w:color w:val="auto"/>
          <w:sz w:val="24"/>
          <w:szCs w:val="44"/>
          <w:highlight w:val="none"/>
        </w:rPr>
        <w:t>【</w:t>
      </w:r>
      <w:r>
        <w:rPr>
          <w:rFonts w:ascii="仿宋_GB2312" w:hAnsi="宋体" w:eastAsia="仿宋_GB2312"/>
          <w:b/>
          <w:color w:val="auto"/>
          <w:sz w:val="24"/>
          <w:szCs w:val="44"/>
          <w:highlight w:val="none"/>
        </w:rPr>
        <w:t>唯一股东</w:t>
      </w:r>
      <w:r>
        <w:rPr>
          <w:rFonts w:hint="eastAsia" w:ascii="仿宋_GB2312" w:hAnsi="宋体" w:eastAsia="仿宋_GB2312"/>
          <w:b/>
          <w:color w:val="auto"/>
          <w:sz w:val="24"/>
          <w:szCs w:val="44"/>
          <w:highlight w:val="none"/>
        </w:rPr>
        <w:t>】，与浙银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具有</w:t>
      </w:r>
      <w:r>
        <w:rPr>
          <w:rFonts w:ascii="仿宋_GB2312" w:hAnsi="宋体" w:eastAsia="仿宋_GB2312"/>
          <w:b/>
          <w:color w:val="auto"/>
          <w:sz w:val="24"/>
          <w:szCs w:val="44"/>
          <w:highlight w:val="none"/>
        </w:rPr>
        <w:t>关联关系。</w:t>
      </w:r>
      <w:r>
        <w:rPr>
          <w:rFonts w:hint="eastAsia" w:ascii="仿宋_GB2312" w:hAnsi="宋体" w:eastAsia="仿宋_GB2312"/>
          <w:b/>
          <w:color w:val="auto"/>
          <w:sz w:val="24"/>
          <w:szCs w:val="44"/>
          <w:highlight w:val="none"/>
        </w:rPr>
        <w:t>如浙银</w:t>
      </w:r>
      <w:r>
        <w:rPr>
          <w:rFonts w:ascii="仿宋_GB2312" w:hAnsi="宋体" w:eastAsia="仿宋_GB2312"/>
          <w:b/>
          <w:color w:val="auto"/>
          <w:sz w:val="24"/>
          <w:szCs w:val="44"/>
          <w:highlight w:val="none"/>
        </w:rPr>
        <w:t>理财委托【</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托管或销售</w:t>
      </w:r>
      <w:r>
        <w:rPr>
          <w:rFonts w:ascii="仿宋_GB2312" w:hAnsi="宋体" w:eastAsia="仿宋_GB2312"/>
          <w:b/>
          <w:color w:val="auto"/>
          <w:sz w:val="24"/>
          <w:szCs w:val="44"/>
          <w:highlight w:val="none"/>
        </w:rPr>
        <w:t>本理财产品</w:t>
      </w:r>
      <w:r>
        <w:rPr>
          <w:rFonts w:hint="eastAsia" w:ascii="仿宋_GB2312" w:hAnsi="宋体" w:eastAsia="仿宋_GB2312"/>
          <w:b/>
          <w:color w:val="auto"/>
          <w:sz w:val="24"/>
          <w:szCs w:val="44"/>
          <w:highlight w:val="none"/>
        </w:rPr>
        <w:t>，将</w:t>
      </w:r>
      <w:r>
        <w:rPr>
          <w:rFonts w:ascii="仿宋_GB2312" w:hAnsi="宋体" w:eastAsia="仿宋_GB2312"/>
          <w:b/>
          <w:color w:val="auto"/>
          <w:sz w:val="24"/>
          <w:szCs w:val="44"/>
          <w:highlight w:val="none"/>
        </w:rPr>
        <w:t>存在</w:t>
      </w:r>
      <w:r>
        <w:rPr>
          <w:rFonts w:hint="eastAsia" w:ascii="仿宋_GB2312" w:hAnsi="宋体" w:eastAsia="仿宋_GB2312"/>
          <w:b/>
          <w:color w:val="auto"/>
          <w:sz w:val="24"/>
          <w:szCs w:val="44"/>
          <w:highlight w:val="none"/>
        </w:rPr>
        <w:t>关联</w:t>
      </w:r>
      <w:r>
        <w:rPr>
          <w:rFonts w:ascii="仿宋_GB2312" w:hAnsi="宋体" w:eastAsia="仿宋_GB2312"/>
          <w:b/>
          <w:color w:val="auto"/>
          <w:sz w:val="24"/>
          <w:szCs w:val="44"/>
          <w:highlight w:val="none"/>
        </w:rPr>
        <w:t>交易风险</w:t>
      </w:r>
      <w:r>
        <w:rPr>
          <w:rFonts w:hint="eastAsia" w:ascii="仿宋_GB2312" w:hAnsi="宋体" w:eastAsia="仿宋_GB2312"/>
          <w:b/>
          <w:color w:val="auto"/>
          <w:sz w:val="24"/>
          <w:szCs w:val="44"/>
          <w:highlight w:val="none"/>
        </w:rPr>
        <w:t>，本人</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本公司确认已充分知悉前述关联关系及关联交易风险的存在，并接受理财产品由销售机构代理销售、托管机构托管，自愿承担相关投资风险。</w:t>
      </w:r>
    </w:p>
    <w:p w14:paraId="68F4252F">
      <w:pPr>
        <w:spacing w:line="360" w:lineRule="auto"/>
        <w:rPr>
          <w:rFonts w:ascii="仿宋_GB2312" w:hAnsi="宋体" w:eastAsia="仿宋_GB2312"/>
          <w:color w:val="auto"/>
          <w:sz w:val="24"/>
          <w:szCs w:val="44"/>
          <w:highlight w:val="none"/>
        </w:rPr>
      </w:pPr>
    </w:p>
    <w:p w14:paraId="15A5C07A">
      <w:pPr>
        <w:spacing w:line="360" w:lineRule="auto"/>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★经销售机构评估，本人/本公司的风险承受能力评估结果为（普通投资者自行填写）：【</w:t>
      </w:r>
      <w:r>
        <w:rPr>
          <w:rFonts w:ascii="仿宋_GB2312" w:hAnsi="宋体" w:eastAsia="仿宋_GB2312"/>
          <w:color w:val="auto"/>
          <w:sz w:val="24"/>
          <w:szCs w:val="44"/>
          <w:highlight w:val="none"/>
        </w:rPr>
        <w:t xml:space="preserve">              </w:t>
      </w:r>
      <w:r>
        <w:rPr>
          <w:rFonts w:hint="eastAsia" w:ascii="仿宋_GB2312" w:hAnsi="宋体" w:eastAsia="仿宋_GB2312"/>
          <w:color w:val="auto"/>
          <w:sz w:val="24"/>
          <w:szCs w:val="44"/>
          <w:highlight w:val="none"/>
        </w:rPr>
        <w:t>】。</w:t>
      </w:r>
      <w:r>
        <w:rPr>
          <w:rFonts w:hint="eastAsia" w:ascii="仿宋_GB2312" w:hAnsi="宋体" w:eastAsia="仿宋_GB2312"/>
          <w:b/>
          <w:color w:val="auto"/>
          <w:sz w:val="24"/>
          <w:szCs w:val="44"/>
          <w:highlight w:val="none"/>
        </w:rPr>
        <w:t>如影响自身风险承受的能力的因素发生变化，本人/本公司将及时完成风险承受能力的重新评估。</w:t>
      </w:r>
    </w:p>
    <w:p w14:paraId="296EC03C">
      <w:pPr>
        <w:ind w:firstLine="420"/>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Dsf&#10;aNYAAAAHAQAADwAAAAAAAAABACAAAAAiAAAAZHJzL2Rvd25yZXYueG1sUEsBAhQAFAAAAAgAh07i&#10;QPSw9cfrAQAAyAMAAA4AAAAAAAAAAQAgAAAAJQEAAGRycy9lMm9Eb2MueG1sUEsFBgAAAAAGAAYA&#10;WQEAAIIFAAAAAA==&#10;">
                <v:fill on="f" focussize="0,0"/>
                <v:stroke weight="1.5pt" color="#404040" miterlimit="8" joinstyle="miter" dashstyle="longDashDot"/>
                <v:imagedata o:title=""/>
                <o:lock v:ext="edit" aspectratio="f"/>
              </v:line>
            </w:pict>
          </mc:Fallback>
        </mc:AlternateContent>
      </w:r>
    </w:p>
    <w:p w14:paraId="61918232">
      <w:pPr>
        <w:ind w:firstLine="480" w:firstLineChars="200"/>
        <w:jc w:val="left"/>
        <w:rPr>
          <w:rFonts w:ascii="仿宋_GB2312" w:hAnsi="宋体" w:eastAsia="仿宋_GB2312"/>
          <w:color w:val="auto"/>
          <w:sz w:val="24"/>
          <w:szCs w:val="44"/>
          <w:highlight w:val="none"/>
        </w:rPr>
      </w:pPr>
    </w:p>
    <w:p w14:paraId="5C48989C">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★个人投资者须亲笔抄录以下内容：</w:t>
      </w:r>
      <w:r>
        <w:rPr>
          <w:rFonts w:hint="eastAsia" w:ascii="仿宋_GB2312" w:hAnsi="宋体" w:eastAsia="仿宋_GB2312"/>
          <w:b/>
          <w:color w:val="auto"/>
          <w:sz w:val="24"/>
          <w:szCs w:val="44"/>
          <w:highlight w:val="none"/>
        </w:rPr>
        <w:t>“本人已经阅读风险揭示，愿意承担投资风险。”</w:t>
      </w:r>
      <w:r>
        <w:rPr>
          <w:rFonts w:ascii="仿宋_GB2312" w:hAnsi="宋体" w:eastAsia="仿宋_GB2312"/>
          <w:color w:val="auto"/>
          <w:sz w:val="24"/>
          <w:szCs w:val="44"/>
          <w:highlight w:val="none"/>
        </w:rPr>
        <w:t xml:space="preserve"> </w:t>
      </w:r>
    </w:p>
    <w:p w14:paraId="126D1FA5">
      <w:pPr>
        <w:ind w:firstLine="480" w:firstLineChars="200"/>
        <w:jc w:val="left"/>
        <w:rPr>
          <w:rFonts w:ascii="仿宋_GB2312" w:hAnsi="宋体" w:eastAsia="仿宋_GB2312"/>
          <w:color w:val="auto"/>
          <w:sz w:val="24"/>
          <w:szCs w:val="44"/>
          <w:highlight w:val="none"/>
        </w:rPr>
      </w:pPr>
    </w:p>
    <w:p w14:paraId="76E95F46">
      <w:pPr>
        <w:ind w:firstLine="480" w:firstLineChars="200"/>
        <w:jc w:val="left"/>
        <w:rPr>
          <w:rFonts w:ascii="仿宋_GB2312" w:hAnsi="宋体" w:eastAsia="仿宋_GB2312"/>
          <w:color w:val="auto"/>
          <w:sz w:val="24"/>
          <w:szCs w:val="44"/>
          <w:highlight w:val="none"/>
        </w:rPr>
      </w:pPr>
    </w:p>
    <w:p w14:paraId="25687BC6">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r>
        <w:rPr>
          <w:rFonts w:ascii="仿宋_GB2312" w:hAnsi="宋体" w:eastAsia="仿宋_GB2312"/>
          <w:color w:val="auto"/>
          <w:sz w:val="24"/>
          <w:szCs w:val="44"/>
          <w:highlight w:val="none"/>
        </w:rPr>
        <w:t xml:space="preserve"> </w:t>
      </w:r>
    </w:p>
    <w:p w14:paraId="594895DA">
      <w:pPr>
        <w:jc w:val="left"/>
        <w:rPr>
          <w:rFonts w:ascii="仿宋_GB2312" w:hAnsi="宋体" w:eastAsia="仿宋_GB2312"/>
          <w:color w:val="auto"/>
          <w:sz w:val="24"/>
          <w:szCs w:val="44"/>
          <w:highlight w:val="none"/>
        </w:rPr>
      </w:pPr>
    </w:p>
    <w:p w14:paraId="72279F50">
      <w:pPr>
        <w:jc w:val="left"/>
        <w:rPr>
          <w:rFonts w:ascii="仿宋_GB2312" w:hAnsi="宋体" w:eastAsia="仿宋_GB2312"/>
          <w:color w:val="auto"/>
          <w:sz w:val="24"/>
          <w:szCs w:val="44"/>
          <w:highlight w:val="none"/>
        </w:rPr>
      </w:pPr>
    </w:p>
    <w:p w14:paraId="3CBEA9D5">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个人投资者签名：                                日期：   年   月   日</w:t>
      </w:r>
    </w:p>
    <w:p w14:paraId="343AC2C2">
      <w:pPr>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6uX2tUA&#10;AAAHAQAADwAAAAAAAAABACAAAAAiAAAAZHJzL2Rvd25yZXYueG1sUEsBAhQAFAAAAAgAh07iQN1D&#10;bHTpAQAAyAMAAA4AAAAAAAAAAQAgAAAAJAEAAGRycy9lMm9Eb2MueG1sUEsFBgAAAAAGAAYAWQEA&#10;AH8FAAAAAA==&#10;">
                <v:fill on="f" focussize="0,0"/>
                <v:stroke weight="1.5pt" color="#404040" miterlimit="8" joinstyle="miter" dashstyle="longDashDot"/>
                <v:imagedata o:title=""/>
                <o:lock v:ext="edit" aspectratio="f"/>
              </v:line>
            </w:pict>
          </mc:Fallback>
        </mc:AlternateContent>
      </w:r>
    </w:p>
    <w:p w14:paraId="7815967E">
      <w:pPr>
        <w:ind w:firstLine="480" w:firstLineChars="200"/>
        <w:jc w:val="left"/>
        <w:rPr>
          <w:rFonts w:ascii="仿宋_GB2312" w:hAnsi="宋体" w:eastAsia="仿宋_GB2312"/>
          <w:color w:val="auto"/>
          <w:sz w:val="24"/>
          <w:szCs w:val="44"/>
          <w:highlight w:val="none"/>
        </w:rPr>
      </w:pPr>
    </w:p>
    <w:p w14:paraId="193645FD">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★机构投资者须亲笔抄录以下内容：</w:t>
      </w:r>
      <w:r>
        <w:rPr>
          <w:rFonts w:hint="eastAsia" w:ascii="仿宋_GB2312" w:hAnsi="宋体" w:eastAsia="仿宋_GB2312"/>
          <w:b/>
          <w:color w:val="auto"/>
          <w:sz w:val="24"/>
          <w:szCs w:val="44"/>
          <w:highlight w:val="none"/>
        </w:rPr>
        <w:t>“我司已经阅读风险揭示，愿意承担投资风险。”</w:t>
      </w:r>
      <w:r>
        <w:rPr>
          <w:rFonts w:ascii="仿宋_GB2312" w:hAnsi="宋体" w:eastAsia="仿宋_GB2312"/>
          <w:color w:val="auto"/>
          <w:sz w:val="24"/>
          <w:szCs w:val="44"/>
          <w:highlight w:val="none"/>
        </w:rPr>
        <w:t xml:space="preserve"> </w:t>
      </w:r>
    </w:p>
    <w:p w14:paraId="42D49DF4">
      <w:pPr>
        <w:ind w:firstLine="480" w:firstLineChars="200"/>
        <w:jc w:val="left"/>
        <w:rPr>
          <w:rFonts w:ascii="仿宋_GB2312" w:hAnsi="宋体" w:eastAsia="仿宋_GB2312"/>
          <w:color w:val="auto"/>
          <w:sz w:val="24"/>
          <w:szCs w:val="44"/>
          <w:highlight w:val="none"/>
        </w:rPr>
      </w:pPr>
    </w:p>
    <w:p w14:paraId="71487F6F">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p>
    <w:p w14:paraId="5FD6E60F">
      <w:pPr>
        <w:jc w:val="left"/>
        <w:rPr>
          <w:rFonts w:ascii="仿宋_GB2312" w:hAnsi="宋体" w:eastAsia="仿宋_GB2312"/>
          <w:color w:val="auto"/>
          <w:sz w:val="24"/>
          <w:szCs w:val="44"/>
          <w:highlight w:val="none"/>
        </w:rPr>
      </w:pPr>
    </w:p>
    <w:p w14:paraId="1A05E76F">
      <w:pPr>
        <w:jc w:val="left"/>
        <w:rPr>
          <w:rFonts w:ascii="仿宋_GB2312" w:hAnsi="宋体" w:eastAsia="仿宋_GB2312"/>
          <w:color w:val="auto"/>
          <w:sz w:val="24"/>
          <w:szCs w:val="44"/>
          <w:highlight w:val="none"/>
        </w:rPr>
      </w:pPr>
    </w:p>
    <w:p w14:paraId="3057DC1F">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机构投资者（盖章）：                            日期：   年   月   日</w:t>
      </w:r>
    </w:p>
    <w:p w14:paraId="7E73490E">
      <w:pPr>
        <w:jc w:val="left"/>
        <w:rPr>
          <w:rFonts w:ascii="仿宋_GB2312" w:hAnsi="宋体" w:eastAsia="仿宋_GB2312"/>
          <w:color w:val="auto"/>
          <w:sz w:val="24"/>
          <w:szCs w:val="44"/>
          <w:highlight w:val="none"/>
        </w:rPr>
      </w:pPr>
    </w:p>
    <w:p w14:paraId="38989FDE">
      <w:pPr>
        <w:rPr>
          <w:rFonts w:ascii="方正小标宋简体" w:eastAsia="方正小标宋简体"/>
          <w:color w:val="auto"/>
          <w:sz w:val="36"/>
          <w:szCs w:val="36"/>
          <w:highlight w:val="none"/>
        </w:rPr>
      </w:pPr>
      <w:r>
        <w:rPr>
          <w:rFonts w:hint="eastAsia" w:ascii="仿宋_GB2312" w:hAnsi="宋体" w:eastAsia="仿宋_GB2312"/>
          <w:color w:val="auto"/>
          <w:sz w:val="24"/>
          <w:szCs w:val="44"/>
          <w:highlight w:val="none"/>
        </w:rPr>
        <w:t>机构投资者法定代表人或授权代表（签字或盖章）</w:t>
      </w:r>
    </w:p>
    <w:p w14:paraId="75744C43">
      <w:pPr>
        <w:rPr>
          <w:color w:val="auto"/>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07AB">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837A3">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r>
      <w:pict>
        <v:shape id="ImpTraceLabel01f24a5666b437d1193b837c63dcab0d@" o:spid="_x0000_s2049"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1346CA6D">
                <w:r>
                  <w:t>ImpTraceLabel01f24a5666b437d1193b837c63dcab0d@=dGltZT0xNzc2ODI3ODM5MDAwfHdhdGVyTWFya0luZm895L+d5a+GfGZpbGVOYW1lPea1memTtueQhui0oueQrueugOWvjOaYpTE0NuWPt+eQhui0ouS6p+WTgemjjumZqeaPreekuuS5pu+8iDIwMjYwMeeJiO+8iS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25A4772"/>
    <w:rsid w:val="1D2B3ECF"/>
    <w:rsid w:val="3AC3387E"/>
    <w:rsid w:val="40B219CD"/>
    <w:rsid w:val="48534C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1143</Words>
  <Characters>6520</Characters>
  <Lines>54</Lines>
  <Paragraphs>15</Paragraphs>
  <TotalTime>21</TotalTime>
  <ScaleCrop>false</ScaleCrop>
  <LinksUpToDate>false</LinksUpToDate>
  <CharactersWithSpaces>7648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2025-12-12T23:40:00Z</dcterms:created>
  <dc:creator>czbank</dc:creator>
  <cp:lastModifiedBy>浙商银行</cp:lastModifiedBy>
  <cp:lastPrinted>2024-06-20T17:45:00Z</cp:lastPrinted>
  <dcterms:modified xsi:type="dcterms:W3CDTF">2026-06-03T06:29:48Z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E16076760C604E02B487188F27D73648</vt:lpwstr>
  </property>
  <property fmtid="{D5CDD505-2E9C-101B-9397-08002B2CF9AE}" pid="3" name="KSOProductBuildVer">
    <vt:lpwstr>2052-12.1.0.24034</vt:lpwstr>
  </property>
  <property fmtid="{D5CDD505-2E9C-101B-9397-08002B2CF9AE}" pid="4" name="KSOTemplateDocerSaveRecord">
    <vt:lpwstr>eyJoZGlkIjoiYWNhOTE4NDNjODhjYzgxMjRkZjJkNjAwYTFhNjQxOWQiLCJ1c2VySWQiOiIzNDYyMDcwMDIifQ==</vt:lpwstr>
  </property>
</Properties>
</file>