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D4F57B">
      <w:pPr>
        <w:widowControl/>
        <w:snapToGrid w:val="0"/>
        <w:jc w:val="center"/>
        <w:rPr>
          <w:rFonts w:ascii="方正小标宋简体" w:hAnsi="宋体" w:eastAsia="方正小标宋简体" w:cs="宋体"/>
          <w:bCs/>
          <w:color w:val="auto"/>
          <w:kern w:val="0"/>
          <w:sz w:val="36"/>
          <w:szCs w:val="36"/>
          <w:highlight w:val="none"/>
        </w:rPr>
      </w:pPr>
      <w:r>
        <w:rPr>
          <w:rFonts w:hint="eastAsia" w:ascii="方正小标宋简体" w:hAnsi="宋体" w:eastAsia="方正小标宋简体" w:cs="宋体"/>
          <w:bCs/>
          <w:color w:val="auto"/>
          <w:kern w:val="0"/>
          <w:sz w:val="36"/>
          <w:szCs w:val="36"/>
          <w:highlight w:val="none"/>
        </w:rPr>
        <w:t>浙银理财</w:t>
      </w:r>
      <w:r>
        <w:rPr>
          <w:rFonts w:hint="eastAsia" w:ascii="方正小标宋简体" w:hAnsi="宋体" w:eastAsia="方正小标宋简体" w:cs="宋体"/>
          <w:bCs/>
          <w:color w:val="auto"/>
          <w:kern w:val="0"/>
          <w:sz w:val="36"/>
          <w:szCs w:val="36"/>
          <w:highlight w:val="none"/>
          <w:lang w:eastAsia="zh-CN"/>
        </w:rPr>
        <w:t>琮简富春149号</w:t>
      </w:r>
      <w:r>
        <w:rPr>
          <w:rFonts w:hint="eastAsia" w:ascii="方正小标宋简体" w:hAnsi="宋体" w:eastAsia="方正小标宋简体" w:cs="宋体"/>
          <w:bCs/>
          <w:color w:val="auto"/>
          <w:kern w:val="0"/>
          <w:sz w:val="36"/>
          <w:szCs w:val="36"/>
          <w:highlight w:val="none"/>
        </w:rPr>
        <w:t>理财产品说明书</w:t>
      </w:r>
    </w:p>
    <w:p w14:paraId="7BE2BDAB">
      <w:pPr>
        <w:widowControl/>
        <w:jc w:val="center"/>
        <w:rPr>
          <w:color w:val="auto"/>
          <w:highlight w:val="none"/>
        </w:rPr>
      </w:pPr>
      <w:r>
        <w:rPr>
          <w:rFonts w:hint="eastAsia" w:ascii="宋体" w:hAnsi="宋体" w:eastAsia="宋体" w:cs="宋体"/>
          <w:b/>
          <w:bCs/>
          <w:color w:val="auto"/>
          <w:kern w:val="0"/>
          <w:sz w:val="28"/>
          <w:szCs w:val="28"/>
          <w:highlight w:val="none"/>
          <w:lang w:bidi="ar"/>
        </w:rPr>
        <w:t>（</w:t>
      </w:r>
      <w:r>
        <w:rPr>
          <w:rFonts w:ascii="宋体" w:hAnsi="宋体" w:eastAsia="宋体" w:cs="宋体"/>
          <w:b/>
          <w:bCs/>
          <w:color w:val="auto"/>
          <w:kern w:val="0"/>
          <w:sz w:val="28"/>
          <w:szCs w:val="28"/>
          <w:highlight w:val="none"/>
          <w:lang w:bidi="ar"/>
        </w:rPr>
        <w:t>全国银行业理财信息登记系统产品登记编码：</w:t>
      </w:r>
      <w:r>
        <w:rPr>
          <w:rFonts w:hint="eastAsia" w:ascii="Times New Roman" w:hAnsi="Times New Roman" w:eastAsia="宋体"/>
          <w:b/>
          <w:bCs/>
          <w:color w:val="auto"/>
          <w:kern w:val="0"/>
          <w:sz w:val="28"/>
          <w:szCs w:val="28"/>
          <w:highlight w:val="none"/>
          <w:lang w:eastAsia="zh-CN" w:bidi="ar"/>
        </w:rPr>
        <w:t>Z7011826000206</w:t>
      </w:r>
      <w:r>
        <w:rPr>
          <w:rFonts w:hint="eastAsia" w:ascii="宋体" w:hAnsi="宋体" w:eastAsia="宋体" w:cs="宋体"/>
          <w:b/>
          <w:bCs/>
          <w:color w:val="auto"/>
          <w:kern w:val="0"/>
          <w:sz w:val="28"/>
          <w:szCs w:val="28"/>
          <w:highlight w:val="none"/>
          <w:lang w:bidi="ar"/>
        </w:rPr>
        <w:t>）</w:t>
      </w:r>
    </w:p>
    <w:p w14:paraId="1520B05E">
      <w:pPr>
        <w:widowControl/>
        <w:jc w:val="center"/>
        <w:rPr>
          <w:color w:val="auto"/>
          <w:highlight w:val="none"/>
        </w:rPr>
      </w:pPr>
      <w:r>
        <w:rPr>
          <w:rFonts w:ascii="宋体" w:hAnsi="宋体" w:eastAsia="宋体" w:cs="宋体"/>
          <w:b/>
          <w:bCs/>
          <w:color w:val="auto"/>
          <w:kern w:val="0"/>
          <w:sz w:val="20"/>
          <w:szCs w:val="20"/>
          <w:highlight w:val="none"/>
          <w:lang w:bidi="ar"/>
        </w:rPr>
        <w:t xml:space="preserve">（投资者可依据该编码在中国理财网 </w:t>
      </w:r>
      <w:r>
        <w:rPr>
          <w:rFonts w:ascii="Times New Roman" w:hAnsi="Times New Roman" w:eastAsia="宋体"/>
          <w:b/>
          <w:bCs/>
          <w:color w:val="auto"/>
          <w:kern w:val="0"/>
          <w:sz w:val="20"/>
          <w:szCs w:val="20"/>
          <w:highlight w:val="none"/>
          <w:lang w:bidi="ar"/>
        </w:rPr>
        <w:t xml:space="preserve">www.chinawealth.com.cn </w:t>
      </w:r>
      <w:r>
        <w:rPr>
          <w:rFonts w:ascii="宋体" w:hAnsi="宋体" w:eastAsia="宋体" w:cs="宋体"/>
          <w:b/>
          <w:bCs/>
          <w:color w:val="auto"/>
          <w:kern w:val="0"/>
          <w:sz w:val="20"/>
          <w:szCs w:val="20"/>
          <w:highlight w:val="none"/>
          <w:lang w:bidi="ar"/>
        </w:rPr>
        <w:t>查询产品信息）</w:t>
      </w:r>
    </w:p>
    <w:p w14:paraId="2E3B32CB">
      <w:pPr>
        <w:widowControl/>
        <w:snapToGrid w:val="0"/>
        <w:jc w:val="center"/>
        <w:rPr>
          <w:rFonts w:ascii="方正小标宋简体" w:hAnsi="宋体" w:eastAsia="方正小标宋简体" w:cs="宋体"/>
          <w:bCs/>
          <w:color w:val="auto"/>
          <w:kern w:val="0"/>
          <w:sz w:val="36"/>
          <w:szCs w:val="36"/>
          <w:highlight w:val="none"/>
        </w:rPr>
      </w:pPr>
    </w:p>
    <w:p w14:paraId="04466BBE">
      <w:pPr>
        <w:widowControl/>
        <w:snapToGrid w:val="0"/>
        <w:ind w:firstLine="480" w:firstLineChars="200"/>
        <w:rPr>
          <w:rFonts w:ascii="黑体" w:hAnsi="宋体" w:eastAsia="黑体" w:cs="宋体"/>
          <w:bCs/>
          <w:color w:val="auto"/>
          <w:kern w:val="0"/>
          <w:szCs w:val="32"/>
          <w:highlight w:val="none"/>
        </w:rPr>
      </w:pPr>
    </w:p>
    <w:p w14:paraId="03E93492">
      <w:pPr>
        <w:tabs>
          <w:tab w:val="left" w:pos="3119"/>
        </w:tabs>
        <w:autoSpaceDE w:val="0"/>
        <w:autoSpaceDN w:val="0"/>
        <w:snapToGrid w:val="0"/>
        <w:spacing w:line="360" w:lineRule="auto"/>
        <w:ind w:right="36" w:rightChars="15"/>
        <w:jc w:val="center"/>
        <w:rPr>
          <w:rFonts w:ascii="黑体" w:hAnsi="宋体" w:eastAsia="黑体" w:cs="宋体"/>
          <w:bCs/>
          <w:color w:val="auto"/>
          <w:kern w:val="0"/>
          <w:sz w:val="28"/>
          <w:szCs w:val="28"/>
          <w:highlight w:val="none"/>
        </w:rPr>
      </w:pPr>
      <w:r>
        <w:rPr>
          <w:rFonts w:hint="eastAsia" w:ascii="黑体" w:hAnsi="宋体" w:eastAsia="黑体" w:cs="宋体"/>
          <w:bCs/>
          <w:color w:val="auto"/>
          <w:kern w:val="0"/>
          <w:sz w:val="28"/>
          <w:szCs w:val="28"/>
          <w:highlight w:val="none"/>
        </w:rPr>
        <w:t>重要提示</w:t>
      </w:r>
    </w:p>
    <w:p w14:paraId="26B8868B">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32"/>
          <w:highlight w:val="none"/>
        </w:rPr>
        <w:t>●</w:t>
      </w:r>
      <w:r>
        <w:rPr>
          <w:rFonts w:hint="eastAsia" w:ascii="仿宋_GB2312" w:hAnsi="宋体" w:cs="宋体"/>
          <w:b/>
          <w:bCs/>
          <w:color w:val="auto"/>
          <w:kern w:val="0"/>
          <w:szCs w:val="24"/>
          <w:highlight w:val="none"/>
        </w:rPr>
        <w:t>理财非存款、产品有风险、投资须谨慎。</w:t>
      </w:r>
    </w:p>
    <w:p w14:paraId="6491CB7C">
      <w:pPr>
        <w:widowControl/>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●浙银理财有限责任公司（以下称“浙银</w:t>
      </w:r>
      <w:r>
        <w:rPr>
          <w:rFonts w:ascii="仿宋_GB2312" w:hAnsi="宋体" w:cs="宋体"/>
          <w:b/>
          <w:bCs/>
          <w:color w:val="auto"/>
          <w:kern w:val="0"/>
          <w:szCs w:val="24"/>
          <w:highlight w:val="none"/>
        </w:rPr>
        <w:t>理财</w:t>
      </w:r>
      <w:r>
        <w:rPr>
          <w:rFonts w:hint="eastAsia" w:ascii="仿宋_GB2312" w:hAnsi="宋体" w:cs="宋体"/>
          <w:b/>
          <w:bCs/>
          <w:color w:val="auto"/>
          <w:kern w:val="0"/>
          <w:szCs w:val="24"/>
          <w:highlight w:val="none"/>
        </w:rPr>
        <w:t>”）郑重提示：在购买理财产品前，请投资者应确保自己完全明白该项投资的性质和所涉及的风险，详细了解和审慎评估该理财产品的资金投资方向及风险类型等基本情况，在慎重考虑后自行决定购买与自身风险承受能力和资产管理需求匹配的理财产品，并承受由此产生的收益与风险。如影响投资者风险承受能力的因素发生变化，请及时完成风险承受能力评估</w:t>
      </w:r>
      <w:r>
        <w:rPr>
          <w:rFonts w:hint="eastAsia"/>
          <w:b/>
          <w:color w:val="auto"/>
          <w:highlight w:val="none"/>
        </w:rPr>
        <w:t>。</w:t>
      </w:r>
    </w:p>
    <w:p w14:paraId="5FB14E36">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本理财产品说明书与《风险揭示书》《投资协议书》《投资者权益须知》《（代理）销售协议书》等共同构成本理财产品完整</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不可</w:t>
      </w:r>
      <w:r>
        <w:rPr>
          <w:rFonts w:hint="eastAsia" w:ascii="仿宋_GB2312" w:hAnsi="宋体" w:cs="宋体"/>
          <w:bCs/>
          <w:color w:val="auto"/>
          <w:kern w:val="0"/>
          <w:szCs w:val="24"/>
          <w:highlight w:val="none"/>
        </w:rPr>
        <w:t>分割</w:t>
      </w:r>
      <w:r>
        <w:rPr>
          <w:rFonts w:ascii="仿宋_GB2312" w:hAnsi="宋体" w:cs="宋体"/>
          <w:bCs/>
          <w:color w:val="auto"/>
          <w:kern w:val="0"/>
          <w:szCs w:val="24"/>
          <w:highlight w:val="none"/>
        </w:rPr>
        <w:t>的</w:t>
      </w:r>
      <w:r>
        <w:rPr>
          <w:rFonts w:hint="eastAsia" w:ascii="仿宋_GB2312" w:hAnsi="宋体" w:cs="宋体"/>
          <w:bCs/>
          <w:color w:val="auto"/>
          <w:kern w:val="0"/>
          <w:szCs w:val="24"/>
          <w:highlight w:val="none"/>
        </w:rPr>
        <w:t>销售文件。</w:t>
      </w:r>
      <w:r>
        <w:rPr>
          <w:rFonts w:hint="eastAsia" w:ascii="仿宋_GB2312" w:hAnsi="宋体" w:cs="宋体"/>
          <w:b/>
          <w:bCs/>
          <w:color w:val="auto"/>
          <w:kern w:val="0"/>
          <w:szCs w:val="24"/>
          <w:highlight w:val="none"/>
        </w:rPr>
        <w:t>为了维护投资者的合法权益，请在投资前仔细阅读本说明书及其他销售文件，了解理财产品具体情况。</w:t>
      </w:r>
    </w:p>
    <w:p w14:paraId="2FE9A914">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本理财产品为</w:t>
      </w:r>
      <w:r>
        <w:rPr>
          <w:rFonts w:hint="eastAsia" w:ascii="仿宋_GB2312" w:hAnsi="宋体" w:cs="宋体"/>
          <w:b/>
          <w:bCs/>
          <w:color w:val="auto"/>
          <w:kern w:val="0"/>
          <w:szCs w:val="24"/>
          <w:highlight w:val="none"/>
        </w:rPr>
        <w:t>非保本浮动收益型理财产品，与银行存款存在显著区别，不受</w:t>
      </w:r>
      <w:r>
        <w:rPr>
          <w:rFonts w:hint="eastAsia" w:ascii="仿宋_GB2312" w:hAnsi="宋体" w:cs="宋体"/>
          <w:b/>
          <w:bCs/>
          <w:color w:val="auto"/>
          <w:kern w:val="0"/>
          <w:szCs w:val="32"/>
          <w:highlight w:val="none"/>
        </w:rPr>
        <w:t>存款保险及其他保障机制的保障。</w:t>
      </w:r>
      <w:r>
        <w:rPr>
          <w:rFonts w:hint="eastAsia" w:ascii="仿宋_GB2312" w:hAnsi="宋体" w:cs="宋体"/>
          <w:b/>
          <w:bCs/>
          <w:color w:val="auto"/>
          <w:kern w:val="0"/>
          <w:szCs w:val="24"/>
          <w:highlight w:val="none"/>
        </w:rPr>
        <w:t>本理财产品不保证投资者理财本金安全及最低收益，投资者投资/持有本理财产品可能因市场变化、突发事件等因素遭受收益乃至本金损失</w:t>
      </w:r>
      <w:r>
        <w:rPr>
          <w:rFonts w:hint="eastAsia" w:ascii="仿宋_GB2312" w:hAnsi="宋体" w:cs="宋体"/>
          <w:b/>
          <w:bCs/>
          <w:color w:val="auto"/>
          <w:kern w:val="0"/>
          <w:szCs w:val="32"/>
          <w:highlight w:val="none"/>
        </w:rPr>
        <w:t>，</w:t>
      </w:r>
      <w:r>
        <w:rPr>
          <w:rFonts w:hint="eastAsia" w:ascii="宋体" w:hAnsi="宋体" w:cs="宋体"/>
          <w:b/>
          <w:bCs/>
          <w:color w:val="auto"/>
          <w:kern w:val="0"/>
          <w:szCs w:val="24"/>
          <w:highlight w:val="none"/>
        </w:rPr>
        <w:t>请</w:t>
      </w:r>
      <w:r>
        <w:rPr>
          <w:rFonts w:hint="eastAsia" w:ascii="仿宋_GB2312" w:hAnsi="宋体" w:cs="宋体"/>
          <w:b/>
          <w:bCs/>
          <w:color w:val="auto"/>
          <w:kern w:val="0"/>
          <w:szCs w:val="24"/>
          <w:highlight w:val="none"/>
        </w:rPr>
        <w:t>投资者充分知晓、理解投资风险，谨慎投资。</w:t>
      </w:r>
    </w:p>
    <w:p w14:paraId="26BB8C18">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本理财产品涉及的主要风险包括政策风险、信用风险、市场风险、流动性风险、经营管理风险、交易对手风险、操作风险、代销风险、募集期延长/缩短风险、产品不成立风险、提前终止风险、延期分配风险、信息传递风险、关联关系及关联交易风险、再投资风险、估值风险、托管及清算风险、税务风险、不同理财产品份额类别存在差异的风险、其他风险等，</w:t>
      </w:r>
      <w:r>
        <w:rPr>
          <w:rFonts w:hint="eastAsia" w:ascii="仿宋_GB2312" w:hAnsi="宋体" w:cs="宋体"/>
          <w:b/>
          <w:bCs/>
          <w:color w:val="auto"/>
          <w:kern w:val="0"/>
          <w:szCs w:val="24"/>
          <w:highlight w:val="none"/>
        </w:rPr>
        <w:t>请投资者仔细阅读《风险揭示书》。</w:t>
      </w:r>
    </w:p>
    <w:p w14:paraId="79FB5EE2">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●本理财产品销售文件中的任何“业绩比较基准”“业绩比较基准区间”以及其他类似表述均不代表投资者可能获得的实际收益，亦不构成管理人对本理财产品的任何收益承诺，不具有法律效力。</w:t>
      </w:r>
    </w:p>
    <w:p w14:paraId="7040800C">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w:t>
      </w:r>
      <w:r>
        <w:rPr>
          <w:rFonts w:ascii="仿宋_GB2312" w:hAnsi="宋体" w:cs="宋体"/>
          <w:b/>
          <w:bCs/>
          <w:color w:val="auto"/>
          <w:kern w:val="0"/>
          <w:szCs w:val="24"/>
          <w:highlight w:val="none"/>
        </w:rPr>
        <w:t>产品的投资运作情况体现为产品净值变化，</w:t>
      </w:r>
      <w:r>
        <w:rPr>
          <w:rFonts w:hint="eastAsia" w:ascii="仿宋_GB2312" w:hAnsi="宋体" w:cs="宋体"/>
          <w:b/>
          <w:bCs/>
          <w:color w:val="auto"/>
          <w:kern w:val="0"/>
          <w:szCs w:val="24"/>
          <w:highlight w:val="none"/>
        </w:rPr>
        <w:t>投资者最终理财收益以实际到账为准。本理财产品过往业绩不代表其未来表现，不等于投资者未来可获得的实际收益。</w:t>
      </w:r>
    </w:p>
    <w:p w14:paraId="020639E4">
      <w:pPr>
        <w:pStyle w:val="28"/>
        <w:spacing w:line="360" w:lineRule="auto"/>
        <w:ind w:firstLine="0" w:firstLineChars="0"/>
        <w:rPr>
          <w:rFonts w:ascii="仿宋_GB2312" w:hAnsi="宋体" w:cs="宋体"/>
          <w:b/>
          <w:color w:val="auto"/>
          <w:kern w:val="0"/>
          <w:szCs w:val="24"/>
          <w:highlight w:val="none"/>
        </w:rPr>
      </w:pPr>
      <w:r>
        <w:rPr>
          <w:rFonts w:hint="eastAsia" w:ascii="仿宋_GB2312" w:hAnsi="宋体" w:cs="宋体"/>
          <w:b/>
          <w:bCs/>
          <w:color w:val="auto"/>
          <w:kern w:val="0"/>
          <w:szCs w:val="24"/>
          <w:highlight w:val="none"/>
        </w:rPr>
        <w:t>●本理财产品仅向依据中华人民共和国法律法规及监管规定可以购买本类理财产品的投资者发售。</w:t>
      </w:r>
      <w:r>
        <w:rPr>
          <w:rFonts w:ascii="仿宋_GB2312" w:hAnsi="宋体" w:cs="宋体"/>
          <w:b/>
          <w:color w:val="auto"/>
          <w:kern w:val="0"/>
          <w:szCs w:val="24"/>
          <w:highlight w:val="none"/>
        </w:rPr>
        <w:t>投资者通过销售机构与浙银理财签订理财产品销售文件后，销售机构或浙银理财在划款时，不再通过任何方式与投资者进行最后确认，直接划款。</w:t>
      </w:r>
      <w:r>
        <w:rPr>
          <w:rFonts w:hint="eastAsia"/>
          <w:b/>
          <w:color w:val="auto"/>
          <w:highlight w:val="none"/>
        </w:rPr>
        <w:t>投</w:t>
      </w:r>
      <w:r>
        <w:rPr>
          <w:rFonts w:ascii="仿宋_GB2312" w:hAnsi="宋体" w:cs="宋体"/>
          <w:b/>
          <w:color w:val="auto"/>
          <w:kern w:val="0"/>
          <w:szCs w:val="24"/>
          <w:highlight w:val="none"/>
        </w:rPr>
        <w:t>资者通过销售机构电子渠道购买本理财产品，成功提交认购/申购申请后视同为投资者已完全知悉并接受本理财产品销售文件载明的风险揭示、重要提示以及其他约定，与浙银理财已完成理财产品销售</w:t>
      </w:r>
      <w:r>
        <w:rPr>
          <w:rFonts w:hint="eastAsia" w:ascii="仿宋_GB2312" w:hAnsi="宋体" w:cs="宋体"/>
          <w:b/>
          <w:color w:val="auto"/>
          <w:kern w:val="0"/>
          <w:szCs w:val="24"/>
          <w:highlight w:val="none"/>
        </w:rPr>
        <w:t>文件</w:t>
      </w:r>
      <w:r>
        <w:rPr>
          <w:rFonts w:ascii="仿宋_GB2312" w:hAnsi="宋体" w:cs="宋体"/>
          <w:b/>
          <w:color w:val="auto"/>
          <w:kern w:val="0"/>
          <w:szCs w:val="24"/>
          <w:highlight w:val="none"/>
        </w:rPr>
        <w:t>的签订。</w:t>
      </w:r>
    </w:p>
    <w:p w14:paraId="4CB1045B">
      <w:pPr>
        <w:pStyle w:val="28"/>
        <w:spacing w:line="360" w:lineRule="auto"/>
        <w:ind w:firstLine="0" w:firstLineChars="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投资本理财产品后，投资者应随时关注本理财产品的信息披露情况，及时获取相关信息。相关信息以销售文件约定的信息披露方式进行披露。</w:t>
      </w:r>
    </w:p>
    <w:p w14:paraId="0F66061C">
      <w:pPr>
        <w:tabs>
          <w:tab w:val="left" w:pos="709"/>
        </w:tabs>
        <w:snapToGrid w:val="0"/>
        <w:spacing w:line="360" w:lineRule="auto"/>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w:t>
      </w:r>
      <w:r>
        <w:rPr>
          <w:rFonts w:hint="eastAsia" w:ascii="仿宋_GB2312" w:hAnsi="宋体" w:cs="宋体"/>
          <w:bCs/>
          <w:color w:val="auto"/>
          <w:kern w:val="0"/>
          <w:szCs w:val="24"/>
          <w:highlight w:val="none"/>
        </w:rPr>
        <w:t>投资者承诺其用于购买本理财产品的资金来源合法合规，并且其系为合法之目的投资本理财产品，而非为洗钱等违法犯罪目的；投资者应确保用于投资本理财产品的资金不来源于贷款、发行债券等筹集的非自有资金。（受托管理的资产管理产品除外）</w:t>
      </w:r>
    </w:p>
    <w:p w14:paraId="3EAF5521">
      <w:pPr>
        <w:tabs>
          <w:tab w:val="left" w:pos="709"/>
        </w:tabs>
        <w:snapToGrid w:val="0"/>
        <w:spacing w:line="360" w:lineRule="auto"/>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w:t>
      </w:r>
      <w:r>
        <w:rPr>
          <w:rFonts w:ascii="仿宋_GB2312" w:hAnsi="宋体" w:cs="宋体"/>
          <w:b/>
          <w:color w:val="auto"/>
          <w:kern w:val="0"/>
          <w:szCs w:val="24"/>
          <w:highlight w:val="none"/>
        </w:rPr>
        <w:t>在本理财产品存续期内，</w:t>
      </w:r>
      <w:r>
        <w:rPr>
          <w:rFonts w:ascii="仿宋_GB2312" w:hAnsi="宋体" w:cs="宋体"/>
          <w:b/>
          <w:color w:val="auto"/>
          <w:kern w:val="0"/>
          <w:szCs w:val="32"/>
          <w:highlight w:val="none"/>
        </w:rPr>
        <w:t>如因维持本理财产品正常运营的需要且在不损害投资者利益的前提下，或因监管政策、法律法规发生变化</w:t>
      </w:r>
      <w:r>
        <w:rPr>
          <w:rFonts w:ascii="仿宋_GB2312" w:hAnsi="宋体" w:cs="宋体"/>
          <w:b/>
          <w:color w:val="auto"/>
          <w:kern w:val="0"/>
          <w:szCs w:val="24"/>
          <w:highlight w:val="none"/>
        </w:rPr>
        <w:t>，浙银理财有权单方对本理财产品销售文件条款进行修订，并按本理财产品说明书约定的披露方式向投资者进行信息披露。浙银理财按照前述规则发布该信息披露即视为该修订通知已送达投资者并对投资者具有法律约束力。</w:t>
      </w:r>
    </w:p>
    <w:p w14:paraId="07EDC8B3">
      <w:pPr>
        <w:tabs>
          <w:tab w:val="left" w:pos="709"/>
        </w:tabs>
        <w:snapToGrid w:val="0"/>
        <w:spacing w:line="360" w:lineRule="auto"/>
        <w:rPr>
          <w:color w:val="auto"/>
          <w:highlight w:val="none"/>
        </w:rPr>
      </w:pPr>
      <w:r>
        <w:rPr>
          <w:rFonts w:hint="eastAsia" w:ascii="仿宋_GB2312" w:hAnsi="宋体" w:cs="宋体"/>
          <w:bCs/>
          <w:color w:val="auto"/>
          <w:kern w:val="0"/>
          <w:szCs w:val="32"/>
          <w:highlight w:val="none"/>
        </w:rPr>
        <w:t>●</w:t>
      </w:r>
      <w:r>
        <w:rPr>
          <w:rFonts w:hint="eastAsia" w:ascii="仿宋_GB2312" w:cs="宋体" w:hAnsiTheme="minorEastAsia"/>
          <w:bCs/>
          <w:color w:val="auto"/>
          <w:kern w:val="0"/>
          <w:szCs w:val="32"/>
          <w:highlight w:val="none"/>
        </w:rPr>
        <w:t>如对本理财产品、服务有任何疑问、意见或建议，敬请联系您的销售服务机构，具体联系方式以《产品说明书》等销售文件的披露为准；或反馈至浙银理财服务电话：0571-57192881。</w:t>
      </w:r>
    </w:p>
    <w:p w14:paraId="1F82D420">
      <w:pPr>
        <w:rPr>
          <w:color w:val="auto"/>
          <w:highlight w:val="none"/>
        </w:rPr>
      </w:pPr>
      <w:r>
        <w:rPr>
          <w:color w:val="auto"/>
          <w:highlight w:val="none"/>
        </w:rPr>
        <w:br w:type="page"/>
      </w:r>
    </w:p>
    <w:p w14:paraId="2AE30E5E">
      <w:pPr>
        <w:pStyle w:val="2"/>
        <w:rPr>
          <w:color w:val="auto"/>
          <w:highlight w:val="none"/>
        </w:rPr>
      </w:pPr>
      <w:r>
        <w:rPr>
          <w:rFonts w:hint="eastAsia"/>
          <w:color w:val="auto"/>
          <w:highlight w:val="none"/>
        </w:rPr>
        <w:t>释义</w:t>
      </w:r>
    </w:p>
    <w:p w14:paraId="0705EFF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本说明书中，除非另有明确说明，否则下列词语或简称具有如下含义：</w:t>
      </w:r>
    </w:p>
    <w:p w14:paraId="0B865AF8">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产品参与主体用语</w:t>
      </w:r>
    </w:p>
    <w:p w14:paraId="0F0C645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管理人/产品管理人/理财产品管理人：指浙银理财有限责任公司（简称“浙银理财”）。</w:t>
      </w:r>
    </w:p>
    <w:p w14:paraId="34C08C7D">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销售机构/理财产品销售机构：指符合</w:t>
      </w:r>
      <w:r>
        <w:rPr>
          <w:rFonts w:ascii="仿宋_GB2312" w:hAnsi="宋体" w:cs="宋体"/>
          <w:bCs/>
          <w:color w:val="auto"/>
          <w:kern w:val="0"/>
          <w:szCs w:val="24"/>
          <w:highlight w:val="none"/>
        </w:rPr>
        <w:t>监管</w:t>
      </w:r>
      <w:r>
        <w:rPr>
          <w:rFonts w:hint="eastAsia" w:ascii="仿宋_GB2312" w:hAnsi="宋体" w:cs="宋体"/>
          <w:bCs/>
          <w:color w:val="auto"/>
          <w:kern w:val="0"/>
          <w:szCs w:val="24"/>
          <w:highlight w:val="none"/>
        </w:rPr>
        <w:t>规定</w:t>
      </w:r>
      <w:r>
        <w:rPr>
          <w:rFonts w:ascii="仿宋_GB2312" w:hAnsi="宋体" w:cs="宋体"/>
          <w:bCs/>
          <w:color w:val="auto"/>
          <w:kern w:val="0"/>
          <w:szCs w:val="24"/>
          <w:highlight w:val="none"/>
        </w:rPr>
        <w:t>具备理财产品销售资格</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销售机构在其渠道开展向投资者</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宣传推介</w:t>
      </w:r>
      <w:r>
        <w:rPr>
          <w:rFonts w:hint="eastAsia" w:ascii="仿宋_GB2312" w:hAnsi="宋体" w:cs="宋体"/>
          <w:bCs/>
          <w:color w:val="auto"/>
          <w:kern w:val="0"/>
          <w:szCs w:val="24"/>
          <w:highlight w:val="none"/>
        </w:rPr>
        <w:t>，为</w:t>
      </w:r>
      <w:r>
        <w:rPr>
          <w:rFonts w:ascii="仿宋_GB2312" w:hAnsi="宋体" w:cs="宋体"/>
          <w:bCs/>
          <w:color w:val="auto"/>
          <w:kern w:val="0"/>
          <w:szCs w:val="24"/>
          <w:highlight w:val="none"/>
        </w:rPr>
        <w:t>投资者</w:t>
      </w:r>
      <w:r>
        <w:rPr>
          <w:rFonts w:hint="eastAsia" w:ascii="仿宋_GB2312" w:hAnsi="宋体" w:cs="宋体"/>
          <w:bCs/>
          <w:color w:val="auto"/>
          <w:kern w:val="0"/>
          <w:szCs w:val="24"/>
          <w:highlight w:val="none"/>
        </w:rPr>
        <w:t>办理理财产品认购、申购和赎回，以及监管许可的其他销售活动。理财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销售可分为直销和代理</w:t>
      </w:r>
      <w:r>
        <w:rPr>
          <w:rFonts w:ascii="仿宋_GB2312" w:hAnsi="宋体" w:cs="宋体"/>
          <w:bCs/>
          <w:color w:val="auto"/>
          <w:kern w:val="0"/>
          <w:szCs w:val="24"/>
          <w:highlight w:val="none"/>
        </w:rPr>
        <w:t>销售</w:t>
      </w:r>
      <w:r>
        <w:rPr>
          <w:rFonts w:hint="eastAsia" w:ascii="仿宋_GB2312" w:hAnsi="宋体" w:cs="宋体"/>
          <w:bCs/>
          <w:color w:val="auto"/>
          <w:kern w:val="0"/>
          <w:szCs w:val="24"/>
          <w:highlight w:val="none"/>
        </w:rPr>
        <w:t>，直销机构指销售本公司发行理财产品的理财公司，代销机构指接受理财公司委托销售发行理财产品的代理销售机构。销售机构在其渠道开展向投资者宣传推介、销售产品管理人依法发行的资产管理产品的活动。</w:t>
      </w:r>
    </w:p>
    <w:p w14:paraId="57810F5D">
      <w:pPr>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产品托管人</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理财产品托管人：</w:t>
      </w:r>
      <w:r>
        <w:rPr>
          <w:rFonts w:ascii="仿宋_GB2312" w:hAnsi="宋体" w:cs="宋体"/>
          <w:bCs/>
          <w:color w:val="auto"/>
          <w:kern w:val="0"/>
          <w:szCs w:val="24"/>
          <w:highlight w:val="none"/>
        </w:rPr>
        <w:t>指</w:t>
      </w:r>
      <w:r>
        <w:rPr>
          <w:rFonts w:hint="eastAsia" w:ascii="仿宋_GB2312" w:hAnsi="宋体" w:cs="宋体"/>
          <w:bCs/>
          <w:color w:val="auto"/>
          <w:kern w:val="0"/>
          <w:szCs w:val="24"/>
          <w:highlight w:val="none"/>
        </w:rPr>
        <w:t>根据管理人委托对理财产品财产进行托管的机构。本理财</w:t>
      </w:r>
      <w:r>
        <w:rPr>
          <w:rFonts w:ascii="仿宋_GB2312" w:hAnsi="宋体" w:cs="宋体"/>
          <w:bCs/>
          <w:color w:val="auto"/>
          <w:kern w:val="0"/>
          <w:szCs w:val="24"/>
          <w:highlight w:val="none"/>
        </w:rPr>
        <w:t>产品托管人</w:t>
      </w:r>
      <w:r>
        <w:rPr>
          <w:rFonts w:hint="eastAsia" w:ascii="仿宋_GB2312" w:hAnsi="宋体" w:cs="宋体"/>
          <w:bCs/>
          <w:color w:val="auto"/>
          <w:kern w:val="0"/>
          <w:szCs w:val="24"/>
          <w:highlight w:val="none"/>
        </w:rPr>
        <w:t>指</w:t>
      </w:r>
      <w:r>
        <w:rPr>
          <w:rFonts w:hint="eastAsia" w:ascii="仿宋_GB2312" w:hAnsi="宋体" w:cs="宋体"/>
          <w:bCs/>
          <w:color w:val="auto"/>
          <w:kern w:val="0"/>
          <w:szCs w:val="24"/>
          <w:highlight w:val="none"/>
          <w:lang w:val="en-US" w:eastAsia="zh-CN"/>
        </w:rPr>
        <w:t>浙商银行股份有限公司</w:t>
      </w:r>
      <w:r>
        <w:rPr>
          <w:rFonts w:hint="eastAsia" w:ascii="仿宋_GB2312" w:hAnsi="宋体" w:cs="宋体"/>
          <w:bCs/>
          <w:color w:val="auto"/>
          <w:kern w:val="0"/>
          <w:szCs w:val="24"/>
          <w:highlight w:val="none"/>
        </w:rPr>
        <w:t>（简称</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浙商银行</w:t>
      </w:r>
      <w:r>
        <w:rPr>
          <w:rFonts w:hint="eastAsia" w:ascii="仿宋_GB2312" w:hAnsi="宋体" w:cs="宋体"/>
          <w:bCs/>
          <w:color w:val="auto"/>
          <w:kern w:val="0"/>
          <w:szCs w:val="24"/>
          <w:highlight w:val="none"/>
        </w:rPr>
        <w:t>具备理财产品托管资格。</w:t>
      </w:r>
    </w:p>
    <w:p w14:paraId="427A96A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4.投资者：指符合相关法律法规、监管规定要求的，可以购买理财产品份额的自然人、法人及</w:t>
      </w:r>
      <w:r>
        <w:rPr>
          <w:rFonts w:ascii="仿宋_GB2312" w:hAnsi="宋体" w:cs="宋体"/>
          <w:bCs/>
          <w:color w:val="auto"/>
          <w:kern w:val="0"/>
          <w:szCs w:val="24"/>
          <w:highlight w:val="none"/>
        </w:rPr>
        <w:t>依法成立的</w:t>
      </w:r>
      <w:r>
        <w:rPr>
          <w:rFonts w:hint="eastAsia" w:ascii="仿宋_GB2312" w:hAnsi="宋体" w:cs="宋体"/>
          <w:bCs/>
          <w:color w:val="auto"/>
          <w:kern w:val="0"/>
          <w:szCs w:val="24"/>
          <w:highlight w:val="none"/>
        </w:rPr>
        <w:t>其他</w:t>
      </w:r>
      <w:r>
        <w:rPr>
          <w:rFonts w:ascii="仿宋_GB2312" w:hAnsi="宋体" w:cs="宋体"/>
          <w:bCs/>
          <w:color w:val="auto"/>
          <w:kern w:val="0"/>
          <w:szCs w:val="24"/>
          <w:highlight w:val="none"/>
        </w:rPr>
        <w:t>组织</w:t>
      </w:r>
      <w:r>
        <w:rPr>
          <w:rFonts w:hint="eastAsia" w:ascii="仿宋_GB2312" w:hAnsi="宋体" w:cs="宋体"/>
          <w:bCs/>
          <w:color w:val="auto"/>
          <w:kern w:val="0"/>
          <w:szCs w:val="24"/>
          <w:highlight w:val="none"/>
        </w:rPr>
        <w:t xml:space="preserve">。 </w:t>
      </w:r>
    </w:p>
    <w:p w14:paraId="091C920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5.合格投资者：合格投资者是指具备相应风险识别能力和风险承受能力，投资于单只理财产品不低于一定金额且符合下列条件的自然人、法人或者依法成立的其他组织：</w:t>
      </w:r>
    </w:p>
    <w:p w14:paraId="216B388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1）具有2年以上投资经历，且满足家庭金融净资产不低于300万元人民币，或者家庭金融资产不低于500万元人民币，或者近3年本人年均收入不低于40万元人民币；</w:t>
      </w:r>
    </w:p>
    <w:p w14:paraId="094A45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最近1年末净资产不低于1000万元人民币的法人或者依法成立的其他组织；</w:t>
      </w:r>
    </w:p>
    <w:p w14:paraId="50B0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国务院银行业监督管理机构规定的其他情形。</w:t>
      </w:r>
    </w:p>
    <w:p w14:paraId="53A19B0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6.专业投资者：符合下列条件之一的是专业投资者：</w:t>
      </w:r>
    </w:p>
    <w:p w14:paraId="1A4734B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银行业金融机构、保险业金融机构、金融控股公司、证券基金期货经营机构、私募基金管理人；</w:t>
      </w:r>
    </w:p>
    <w:p w14:paraId="4072737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2</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上述机构面向投资者发行的金融产品，信托公司管理的资产服务信托、公益慈善信托；</w:t>
      </w:r>
    </w:p>
    <w:p w14:paraId="55C6D8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lang w:val="en-US" w:eastAsia="zh-CN"/>
        </w:rPr>
        <w:t>3</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社会保障基金、企业年金、职业年金等养老基金，慈善基金等社会公益基金，合格境外机构投资者（QFII）、人民币合格境外机构投资者（RQFII）。</w:t>
      </w:r>
    </w:p>
    <w:p w14:paraId="1F086E7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7.普通投资者：专业投资者之外的投资者为普通投资者。</w:t>
      </w:r>
    </w:p>
    <w:p w14:paraId="30FBDBA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8.全国银行业理财信息登记系统：指供商业银行及商业银行理财公司进行理财产品电子化报告和信息登记的电子信息系统。</w:t>
      </w:r>
    </w:p>
    <w:p w14:paraId="0DBD32B4">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法律文件用语 </w:t>
      </w:r>
    </w:p>
    <w:p w14:paraId="5C8B996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1.理财产品销售文件/销售文件：指产品管理人向投资者提供的，用于描述产品特征，约定权利义务的文件。具体指浙银理财</w:t>
      </w:r>
      <w:r>
        <w:rPr>
          <w:rFonts w:hint="eastAsia" w:ascii="仿宋_GB2312" w:hAnsi="宋体" w:cs="宋体"/>
          <w:bCs/>
          <w:color w:val="auto"/>
          <w:kern w:val="0"/>
          <w:szCs w:val="24"/>
          <w:highlight w:val="none"/>
          <w:lang w:eastAsia="zh-CN"/>
        </w:rPr>
        <w:t>琮简富春149号</w:t>
      </w:r>
      <w:r>
        <w:rPr>
          <w:rFonts w:hint="eastAsia" w:ascii="仿宋_GB2312" w:hAnsi="宋体" w:cs="宋体"/>
          <w:bCs/>
          <w:color w:val="auto"/>
          <w:kern w:val="0"/>
          <w:szCs w:val="24"/>
          <w:highlight w:val="none"/>
        </w:rPr>
        <w:t>理财产品销售文件，包括《投资协议书》、《产品说明书》、《（代理）销售协议书》、《风险揭示书》、《投资者权益须知》以及对该文件的有效修改或补充。上述文件共同构成一份完整且不可分割的理财产品销售文件。经产品管理人委托，代理销售机构可以编制《（代理）销售协议书》、《风险揭示书》、《投资者权益须知》。</w:t>
      </w:r>
    </w:p>
    <w:p w14:paraId="19E3F8A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2.《投资协议书》：指管理人统一编制的《浙银理财理财产品投资协议书》，以及对该文件的有效修改或补充。</w:t>
      </w:r>
    </w:p>
    <w:p w14:paraId="5C16480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3.《产品说明书》：指管理人统一编制的《浙银理财</w:t>
      </w:r>
      <w:r>
        <w:rPr>
          <w:rFonts w:hint="eastAsia" w:ascii="仿宋_GB2312" w:hAnsi="宋体" w:cs="宋体"/>
          <w:bCs/>
          <w:color w:val="auto"/>
          <w:kern w:val="0"/>
          <w:szCs w:val="24"/>
          <w:highlight w:val="none"/>
          <w:lang w:eastAsia="zh-CN"/>
        </w:rPr>
        <w:t>琮简富春149号</w:t>
      </w:r>
      <w:r>
        <w:rPr>
          <w:rFonts w:hint="eastAsia" w:ascii="仿宋_GB2312" w:hAnsi="宋体" w:cs="宋体"/>
          <w:bCs/>
          <w:color w:val="auto"/>
          <w:kern w:val="0"/>
          <w:szCs w:val="24"/>
          <w:highlight w:val="none"/>
        </w:rPr>
        <w:t>理财产品说明书》，以及对该文件的有效修改或补充。</w:t>
      </w:r>
    </w:p>
    <w:p w14:paraId="7FC736E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代理）销售协议书》：指管理人统一编制的《浙银理财理财产品（代理）销售协议书》或代理销售机构接受产品管理人委托自行编制的《理财产品（代理）销售协议书》（文件名称以代理销售机构实际编制为准），以及对该文件的有效修改或补充。</w:t>
      </w:r>
    </w:p>
    <w:p w14:paraId="78513C4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5.《风险揭示书》：指管理人统一编制的《浙银理财</w:t>
      </w:r>
      <w:r>
        <w:rPr>
          <w:rFonts w:hint="eastAsia" w:ascii="仿宋_GB2312" w:hAnsi="宋体" w:cs="宋体"/>
          <w:bCs/>
          <w:color w:val="auto"/>
          <w:kern w:val="0"/>
          <w:szCs w:val="24"/>
          <w:highlight w:val="none"/>
          <w:lang w:eastAsia="zh-CN"/>
        </w:rPr>
        <w:t>琮简富春149号</w:t>
      </w:r>
      <w:r>
        <w:rPr>
          <w:rFonts w:hint="eastAsia" w:ascii="仿宋_GB2312" w:hAnsi="宋体" w:cs="宋体"/>
          <w:bCs/>
          <w:color w:val="auto"/>
          <w:kern w:val="0"/>
          <w:szCs w:val="24"/>
          <w:highlight w:val="none"/>
        </w:rPr>
        <w:t>理财产品风险揭示书》或代理销售机构接受产品管理人委托自行编制的《浙银理财</w:t>
      </w:r>
      <w:r>
        <w:rPr>
          <w:rFonts w:hint="eastAsia" w:ascii="仿宋_GB2312" w:hAnsi="宋体" w:cs="宋体"/>
          <w:bCs/>
          <w:color w:val="auto"/>
          <w:kern w:val="0"/>
          <w:szCs w:val="24"/>
          <w:highlight w:val="none"/>
          <w:lang w:eastAsia="zh-CN"/>
        </w:rPr>
        <w:t>琮简富春149号</w:t>
      </w:r>
      <w:r>
        <w:rPr>
          <w:rFonts w:hint="eastAsia" w:ascii="仿宋_GB2312" w:hAnsi="宋体" w:cs="宋体"/>
          <w:bCs/>
          <w:color w:val="auto"/>
          <w:kern w:val="0"/>
          <w:szCs w:val="24"/>
          <w:highlight w:val="none"/>
        </w:rPr>
        <w:t>理财产品风险揭示书》（文件名称以代理销售机构实际编制为准），以及对该文件的有效修改或补充。</w:t>
      </w:r>
    </w:p>
    <w:p w14:paraId="0A66E8E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者权益须知》：指管理人统一编制的《浙银理财理财产品投资者权益须知》或代理销售机构接受产品管理人委托自行编制的《浙银理财产品投资者权益须知》（文件名称以代理销售机构实际编制为准），以及对该文件的有效修改或补充。</w:t>
      </w:r>
    </w:p>
    <w:p w14:paraId="6887C7BC">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理财产品用语 </w:t>
      </w:r>
    </w:p>
    <w:p w14:paraId="3292562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产品登记编码：指本款理财产品在全国银行业理财信息登记系统对理财产品进行信息登记后，由全国银行业理财信息登记系统发放的唯一性的理财产品编码。投资者可依据登记编码在中国理财网（www.chinawealth.com.cn）查询产品信息。</w:t>
      </w:r>
    </w:p>
    <w:p w14:paraId="53C291F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2.理财产品代码/产品代码：指产品管理人在全国银行业理财信息登记系统中为理财产品设置的内部识别码。</w:t>
      </w:r>
    </w:p>
    <w:p w14:paraId="6B18E7F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3.理财产品销售代码/销售代码：指本款理财产品若设置不同产品份额类别，为在理财产品销售管理过程中区分不同产品份额类别，管理人在同一理财产品代码项下，为每类份额类别设置的唯一性内部识别码。</w:t>
      </w:r>
    </w:p>
    <w:p w14:paraId="6577E18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理财产品风险等级：理财产品风险等级为产品管理人和销售机构经过审慎评估后确定的产品风险等级。若本产品通过代理销售机构销售的，理财产品风险等级以代理销售机构最终披露的风险等级结果为准。产品管理人和代理销售机构对理财产品的风险等级评估结果不一致时，代理销售机构应采用对应较高风险的评级结果。</w:t>
      </w: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p w14:paraId="0E46CD0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5.投资者风险承受能力评估：指销售机构对理财投资者的风险承受能力进行评价的过程。</w:t>
      </w:r>
    </w:p>
    <w:p w14:paraId="74D37F4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6.理财产品份额：指投资者持有本理财产品的单位数额。投资者基于其所持有的理财产品单位数额享有理财产品利益、承担理财产品风险。理财产品份额四舍五入保留2位小数。</w:t>
      </w:r>
    </w:p>
    <w:p w14:paraId="63FBF84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7.理财产品资产净值/理财资产净值/产品资产净值：理财产品资产净值=理财产品资产总值-理财产品负债总值。</w:t>
      </w:r>
    </w:p>
    <w:p w14:paraId="157741F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理财产品资产总值是指理财产品拥有的各类有价证券、银行存款、应收款项及其他资产的价值总和。</w:t>
      </w:r>
    </w:p>
    <w:p w14:paraId="11DAA9C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理财产品负债总值是指理财产品运作及融资时形成的负债价值总和，包括融资资金本息、</w:t>
      </w:r>
      <w:r>
        <w:rPr>
          <w:rFonts w:hint="eastAsia" w:ascii="仿宋_GB2312" w:hAnsi="宋体" w:cs="宋体"/>
          <w:bCs/>
          <w:color w:val="auto"/>
          <w:kern w:val="0"/>
          <w:sz w:val="22"/>
          <w:highlight w:val="none"/>
        </w:rPr>
        <w:t>应付各项费用</w:t>
      </w:r>
      <w:r>
        <w:rPr>
          <w:rFonts w:hint="eastAsia" w:ascii="仿宋_GB2312" w:hAnsi="宋体" w:cs="宋体"/>
          <w:bCs/>
          <w:color w:val="auto"/>
          <w:kern w:val="0"/>
          <w:szCs w:val="24"/>
          <w:highlight w:val="none"/>
        </w:rPr>
        <w:t>（包括产品托管费、认购费、投资管理费、业绩报酬、其他费用等）、应付税金及其他应付款项等。</w:t>
      </w:r>
    </w:p>
    <w:p w14:paraId="309DCF6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理财产品份额净值/理财份额净值/产品份额净值：指理财产品份额的单位净值，即每1份理财产品份额以人民币计价的价格。理财产品份额净值=理财资产净值/产品总份额。投资者按该份额净值进行理财产品申购、赎回时分配。理财产品份额净值四舍五入保留【4位】小数。</w:t>
      </w:r>
    </w:p>
    <w:p w14:paraId="308214F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理财产品份额净值可以展示为</w:t>
      </w:r>
      <w:r>
        <w:rPr>
          <w:rFonts w:ascii="仿宋_GB2312" w:hAnsi="宋体" w:cs="宋体"/>
          <w:b/>
          <w:color w:val="auto"/>
          <w:kern w:val="0"/>
          <w:szCs w:val="24"/>
          <w:highlight w:val="none"/>
        </w:rPr>
        <w:t>当前理财产品份额净值</w:t>
      </w:r>
      <w:r>
        <w:rPr>
          <w:rFonts w:hint="eastAsia" w:ascii="仿宋_GB2312" w:hAnsi="宋体" w:cs="宋体"/>
          <w:bCs/>
          <w:color w:val="auto"/>
          <w:kern w:val="0"/>
          <w:szCs w:val="24"/>
          <w:highlight w:val="none"/>
        </w:rPr>
        <w:t>和</w:t>
      </w:r>
      <w:r>
        <w:rPr>
          <w:rFonts w:ascii="仿宋_GB2312" w:hAnsi="宋体" w:cs="宋体"/>
          <w:b/>
          <w:color w:val="auto"/>
          <w:kern w:val="0"/>
          <w:szCs w:val="24"/>
          <w:highlight w:val="none"/>
        </w:rPr>
        <w:t>累计理财产品份额净值</w:t>
      </w:r>
      <w:r>
        <w:rPr>
          <w:rFonts w:hint="eastAsia" w:ascii="仿宋_GB2312" w:hAnsi="宋体" w:cs="宋体"/>
          <w:bCs/>
          <w:color w:val="auto"/>
          <w:kern w:val="0"/>
          <w:szCs w:val="24"/>
          <w:highlight w:val="none"/>
        </w:rPr>
        <w:t>。</w:t>
      </w:r>
    </w:p>
    <w:p w14:paraId="0B55621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当前理财产品份额净值，指产品当前的份额净值。</w:t>
      </w:r>
    </w:p>
    <w:p w14:paraId="31DF5BD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累计理财产品份额净值，指产品当前份额净值及产品成立到现在单位理财产品份额分红之和。</w:t>
      </w:r>
    </w:p>
    <w:p w14:paraId="09EF0454">
      <w:pPr>
        <w:tabs>
          <w:tab w:val="left" w:pos="709"/>
        </w:tabs>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（注：若无特别说明，理财产品份额净值通常指当前理财产品份额净值）</w:t>
      </w:r>
    </w:p>
    <w:p w14:paraId="631F4DD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9.理财产品估值：指计算评估理财产品资产和理财产品负债的价值，以确定理财产品份额净值的过程。</w:t>
      </w:r>
    </w:p>
    <w:p w14:paraId="769282D2">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10.业绩比较基准：指管理人基于过往投资经验及对产品存续期投资市场波动的预判而对本产品所设定的投资目标。</w:t>
      </w:r>
      <w:r>
        <w:rPr>
          <w:rFonts w:ascii="仿宋_GB2312" w:hAnsi="宋体" w:cs="宋体"/>
          <w:b/>
          <w:color w:val="auto"/>
          <w:kern w:val="0"/>
          <w:szCs w:val="24"/>
          <w:highlight w:val="none"/>
        </w:rPr>
        <w:t>业绩比较基准不代表理财产品未来表现，不等于理财产品实际收益，不作为产品收益的业绩保证，投资须谨慎。</w:t>
      </w:r>
    </w:p>
    <w:p w14:paraId="5DB644EE">
      <w:pPr>
        <w:tabs>
          <w:tab w:val="left" w:pos="709"/>
        </w:tabs>
        <w:snapToGrid w:val="0"/>
        <w:spacing w:line="360" w:lineRule="auto"/>
        <w:ind w:firstLine="480" w:firstLineChars="200"/>
        <w:rPr>
          <w:rFonts w:ascii="仿宋_GB2312" w:hAnsi="宋体" w:cs="宋体"/>
          <w:b/>
          <w:color w:val="auto"/>
          <w:kern w:val="0"/>
          <w:szCs w:val="24"/>
          <w:highlight w:val="none"/>
        </w:rPr>
      </w:pPr>
      <w:r>
        <w:rPr>
          <w:rFonts w:hint="eastAsia" w:ascii="仿宋_GB2312" w:hAnsi="宋体" w:cs="宋体"/>
          <w:bCs/>
          <w:color w:val="auto"/>
          <w:kern w:val="0"/>
          <w:szCs w:val="24"/>
          <w:highlight w:val="none"/>
        </w:rPr>
        <w:t>11.业绩报酬计提基准：指管理人收取业绩</w:t>
      </w:r>
      <w:r>
        <w:rPr>
          <w:rFonts w:ascii="仿宋_GB2312" w:hAnsi="宋体" w:cs="宋体"/>
          <w:bCs/>
          <w:color w:val="auto"/>
          <w:kern w:val="0"/>
          <w:szCs w:val="24"/>
          <w:highlight w:val="none"/>
        </w:rPr>
        <w:t>报酬</w:t>
      </w:r>
      <w:r>
        <w:rPr>
          <w:rFonts w:hint="eastAsia" w:ascii="仿宋_GB2312" w:hAnsi="宋体" w:cs="宋体"/>
          <w:bCs/>
          <w:color w:val="auto"/>
          <w:kern w:val="0"/>
          <w:szCs w:val="24"/>
          <w:highlight w:val="none"/>
        </w:rPr>
        <w:t>的参照相关数值标准。</w:t>
      </w:r>
      <w:r>
        <w:rPr>
          <w:rFonts w:hint="eastAsia" w:ascii="仿宋_GB2312" w:hAnsi="宋体" w:cs="宋体"/>
          <w:b/>
          <w:color w:val="auto"/>
          <w:kern w:val="0"/>
          <w:szCs w:val="24"/>
          <w:highlight w:val="none"/>
        </w:rPr>
        <w:t>业绩报酬计提基准</w:t>
      </w:r>
      <w:r>
        <w:rPr>
          <w:rFonts w:ascii="仿宋_GB2312" w:hAnsi="宋体" w:cs="宋体"/>
          <w:b/>
          <w:color w:val="auto"/>
          <w:kern w:val="0"/>
          <w:szCs w:val="24"/>
          <w:highlight w:val="none"/>
        </w:rPr>
        <w:t>不代表理财产品未来表现，不等于理财产品实际收益，不作为产品收益的业绩保证，投资须谨慎。</w:t>
      </w:r>
    </w:p>
    <w:p w14:paraId="7208192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12.理财产品利益/理财利益：指投资者因持有理财产品份额，按照销售文件约定取得或有权取得的理财产品管理人分配的理财产品资产。</w:t>
      </w:r>
    </w:p>
    <w:p w14:paraId="4FAAD30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13.利益分配：指产品管理人向投资者进行理财产品利益分配。 </w:t>
      </w:r>
    </w:p>
    <w:p w14:paraId="028883B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14.期间分配：指在理财产品终止日（不含当日）前的理财产品利益分配。 </w:t>
      </w:r>
    </w:p>
    <w:p w14:paraId="4DE6CA8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15.终止分配：指在理财产品终止日当日及之后的理财产品利益分配。</w:t>
      </w:r>
    </w:p>
    <w:p w14:paraId="69A3019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16.认购：指投资者根据本协议约定在认购期/募集期内申请购买本产品理财产品份额的行为。 </w:t>
      </w:r>
    </w:p>
    <w:p w14:paraId="0007CCD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17.申购：指理财产品成立后，在理财产品申购期内，投资者申请购买理财产品份额的行为。</w:t>
      </w:r>
    </w:p>
    <w:p w14:paraId="2F8AC7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首次申购，指未进行认购的投资者，在理财产品成立后申请购买理财产品份额的行为。投资者全额赎回不再持有理财产品份额后再次申购的，视同首次申购处理。</w:t>
      </w:r>
    </w:p>
    <w:p w14:paraId="181D2F4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追加申购，指已经完成认购或首次申购的投资者，在理财产品成立后申请购买理财产品份额的行为。</w:t>
      </w:r>
    </w:p>
    <w:p w14:paraId="1CDC813F">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18.赎回：指理财产品成立后，在理财产品赎回期内，投资者申请赎回理财产品份额的行为，即投资者申请将理财产品份额兑换为现金。</w:t>
      </w:r>
    </w:p>
    <w:p w14:paraId="091F91B1">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期间与日期 </w:t>
      </w:r>
    </w:p>
    <w:p w14:paraId="3999822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1.日：指自然日。</w:t>
      </w:r>
    </w:p>
    <w:p w14:paraId="6C06A59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2.交易日：指证券交易所的正常开盘交易日。 </w:t>
      </w:r>
    </w:p>
    <w:p w14:paraId="165610A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3.工作日：指国家法定工作日。 </w:t>
      </w:r>
    </w:p>
    <w:p w14:paraId="43B719D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4.成立日：指达到《产品说明书》约定的成立条件后本产品开始运作的日期。</w:t>
      </w:r>
    </w:p>
    <w:p w14:paraId="2E339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到期日/终止日：指本产品终止的日期，包括理财产品正常到期之日、提前终止之日及延期终止之日。根据《产品说明书》的约定，管理人有权在发生终止事件时终止该理财产品。如管理人终止理财产品，将通过约定方式向投资者进行信息披露。</w:t>
      </w:r>
    </w:p>
    <w:p w14:paraId="74ED3BA9">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6.分配基准日：指本产品管理人以该日日终产品份额净值计算并确定可供分配的投资期间理财利益的日期。</w:t>
      </w:r>
    </w:p>
    <w:p w14:paraId="6924318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7.分配日：指产品管理人向投资者进行理财产品利益分配的日期。</w:t>
      </w:r>
    </w:p>
    <w:p w14:paraId="249A7CB1">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募集期/认购期：指理财产品成立前，理财产品管理人接受理财产品认购的时间。但在该期间内如认购人提交认购申请的认购份额提前达到《产品说明书》所载的发行规模上限的，管理人有权选择认购期提前结束并停止接受认购申请。该情形下，产品成立日维持《产品说明书》的约定，保持不变。</w:t>
      </w:r>
    </w:p>
    <w:p w14:paraId="0409C0B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9.持有期：指自产品成立日/申购确认日起，投资者持有该产品份额的期间。</w:t>
      </w:r>
    </w:p>
    <w:p w14:paraId="547B54C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10.产品存续期：指自理财产品成立日起，至理财产品终止日的期间。</w:t>
      </w:r>
    </w:p>
    <w:p w14:paraId="1F3DB25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11.清算期：指自本理财产品终止日至投资者理财利益到账日之间的期间。</w:t>
      </w:r>
    </w:p>
    <w:p w14:paraId="590894DB">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12.申购/赎回日：指投资者提交申购、赎回申请的日期。</w:t>
      </w:r>
    </w:p>
    <w:p w14:paraId="71AABB7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13.申购/赎回确认日：指投资者提交申购、赎回申请后，管理人对申购、赎回申请进行确认的日期。</w:t>
      </w:r>
    </w:p>
    <w:p w14:paraId="37B26D6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14.T日：指某一事件或行为发生的当日。</w:t>
      </w:r>
    </w:p>
    <w:p w14:paraId="395B1A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15.T+n日：指T日后（不包括T日）的第n个工作日。</w:t>
      </w:r>
    </w:p>
    <w:p w14:paraId="155FFF7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16.T-n日：指T前（不包括T日）的第n个工作日。</w:t>
      </w:r>
    </w:p>
    <w:p w14:paraId="4EB9E066">
      <w:pPr>
        <w:pStyle w:val="3"/>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费用</w:t>
      </w:r>
    </w:p>
    <w:p w14:paraId="39DE22D7">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1.认购费：指投资者认购产品时需缴纳的费用。</w:t>
      </w:r>
    </w:p>
    <w:p w14:paraId="30C2B98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2.申购费：指投资者申购产品时需缴纳的费用。</w:t>
      </w:r>
    </w:p>
    <w:p w14:paraId="7FDDF9D8">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3.赎回费：指投资者赎回产品时需缴纳的费用。</w:t>
      </w:r>
    </w:p>
    <w:p w14:paraId="6E0B81C6">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4.销售服务费：指因理财产品销售行为产生，销售机构所收取的费用。</w:t>
      </w:r>
    </w:p>
    <w:p w14:paraId="4271544E">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5.投资管理费：指因理财产品投资管理产生，管理人所收取的费用。</w:t>
      </w:r>
    </w:p>
    <w:p w14:paraId="32D65203">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6.产品托管费：指因理财产品进行托管产生，托管人收取的费用。</w:t>
      </w:r>
    </w:p>
    <w:p w14:paraId="51E2BBD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7.业绩报酬：指产品管理人依照理财产品销售文件约定规则收取的浮动性质的管理费用。</w:t>
      </w:r>
    </w:p>
    <w:p w14:paraId="3EE3DBA7">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8.其他费用（如有）：</w:t>
      </w:r>
      <w:r>
        <w:rPr>
          <w:rFonts w:hint="eastAsia"/>
          <w:color w:val="auto"/>
          <w:highlight w:val="none"/>
        </w:rPr>
        <w:t>与理财</w:t>
      </w:r>
      <w:r>
        <w:rPr>
          <w:color w:val="auto"/>
          <w:highlight w:val="none"/>
        </w:rPr>
        <w:t>产品相关的</w:t>
      </w:r>
      <w:r>
        <w:rPr>
          <w:rFonts w:hint="eastAsia"/>
          <w:color w:val="auto"/>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5799DF6C">
      <w:pPr>
        <w:pStyle w:val="3"/>
        <w:snapToGrid w:val="0"/>
        <w:ind w:firstLine="482"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其他 </w:t>
      </w:r>
    </w:p>
    <w:p w14:paraId="62DA3F9C">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1.不可抗力：指理财产品各方不能预见、不能避免且不能克服的客观情况，该事件妨碍、影响或延误任何一方依相关理财产品销售文件履行其全部或部分义务。该事件包括但不限于：</w:t>
      </w:r>
    </w:p>
    <w:p w14:paraId="5D449894">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A、地震、台风、海啸、洪水、火灾、停电、瘟疫；</w:t>
      </w:r>
    </w:p>
    <w:p w14:paraId="7A358AA5">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B、战争、政变、恐怖主义行动、骚乱、罢工；</w:t>
      </w:r>
    </w:p>
    <w:p w14:paraId="3BF695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C、新的适用法律或国家政策的颁布或实施、对原适用法律或国家政策的修改；</w:t>
      </w:r>
    </w:p>
    <w:p w14:paraId="3F90832A">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D、金融管理部门强制要求终止理财产品（该等强制要求不可归咎于任何一方）；</w:t>
      </w:r>
    </w:p>
    <w:p w14:paraId="5A4F43C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E、因理财产品各方和/或其关联方运营网络系统遭受黑客攻击、电信部门技术调整或故障等原因而造成的理财产品各方和/或其关联方之服务、营业的中断或者延迟。</w:t>
      </w:r>
    </w:p>
    <w:p w14:paraId="43784290">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2.元：指人民币元。 </w:t>
      </w:r>
    </w:p>
    <w:p w14:paraId="20E863F2">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适用法律：指在理财产品销售文件签署日和履行过程中，适用中华人民共和国法律（为本协议之目的，在此不包括香港、澳门特别行政区和台湾地区的法律），包括中国任何立法机构、政府部门、银行业理财登记托管中心、银行间交易商协会、证券交易所、证券登记结算机构、相关行业协会依法颁布的，适用于本理财产品相关事宜的法律、行政法规、地方法规、部委规章、地方政府规章、规范性文件、规则、通知、须知、业务指南、指引或操作规程，及其有效的修改、更新或补充。</w:t>
      </w:r>
    </w:p>
    <w:p w14:paraId="604BCF10">
      <w:pPr>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508B0CB">
      <w:pPr>
        <w:pStyle w:val="2"/>
        <w:rPr>
          <w:color w:val="auto"/>
          <w:highlight w:val="none"/>
        </w:rPr>
      </w:pPr>
      <w:r>
        <w:rPr>
          <w:rFonts w:hint="eastAsia"/>
          <w:color w:val="auto"/>
          <w:highlight w:val="none"/>
        </w:rPr>
        <w:t>理财产品基本情况</w:t>
      </w:r>
    </w:p>
    <w:tbl>
      <w:tblPr>
        <w:tblStyle w:val="16"/>
        <w:tblW w:w="9214" w:type="dxa"/>
        <w:tblInd w:w="5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3"/>
        <w:gridCol w:w="1885"/>
        <w:gridCol w:w="1885"/>
        <w:gridCol w:w="1885"/>
        <w:gridCol w:w="1886"/>
      </w:tblGrid>
      <w:tr w14:paraId="2A14E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F59133A">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产品名称</w:t>
            </w:r>
          </w:p>
        </w:tc>
        <w:tc>
          <w:tcPr>
            <w:tcW w:w="7541" w:type="dxa"/>
            <w:gridSpan w:val="4"/>
            <w:vAlign w:val="center"/>
          </w:tcPr>
          <w:p w14:paraId="6627DFFA">
            <w:pPr>
              <w:snapToGrid w:val="0"/>
              <w:rPr>
                <w:rFonts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琮简富春149号</w:t>
            </w:r>
            <w:r>
              <w:rPr>
                <w:rFonts w:hint="eastAsia" w:ascii="宋体" w:hAnsi="宋体"/>
                <w:color w:val="auto"/>
                <w:szCs w:val="24"/>
                <w:highlight w:val="none"/>
              </w:rPr>
              <w:t>理财产品</w:t>
            </w:r>
          </w:p>
        </w:tc>
      </w:tr>
      <w:tr w14:paraId="698D9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673" w:type="dxa"/>
            <w:vAlign w:val="center"/>
          </w:tcPr>
          <w:p w14:paraId="7090B1F0">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产品代码</w:t>
            </w:r>
          </w:p>
        </w:tc>
        <w:tc>
          <w:tcPr>
            <w:tcW w:w="7541" w:type="dxa"/>
            <w:gridSpan w:val="4"/>
            <w:vAlign w:val="center"/>
          </w:tcPr>
          <w:p w14:paraId="42D1C3D9">
            <w:pPr>
              <w:snapToGrid w:val="0"/>
              <w:rPr>
                <w:rFonts w:hint="eastAsia" w:ascii="宋体" w:hAnsi="宋体" w:eastAsia="仿宋_GB2312"/>
                <w:color w:val="auto"/>
                <w:szCs w:val="24"/>
                <w:highlight w:val="none"/>
                <w:lang w:eastAsia="zh-CN"/>
              </w:rPr>
            </w:pPr>
            <w:r>
              <w:rPr>
                <w:rFonts w:hint="eastAsia" w:ascii="仿宋_GB2312" w:hAnsi="仿宋_GB2312" w:cs="仿宋_GB2312"/>
                <w:color w:val="auto"/>
                <w:szCs w:val="24"/>
                <w:highlight w:val="none"/>
                <w:lang w:eastAsia="zh-CN"/>
              </w:rPr>
              <w:t>ZYFCG01520</w:t>
            </w:r>
          </w:p>
        </w:tc>
      </w:tr>
      <w:tr w14:paraId="06EEE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8BE0CF0">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理财产品登记编码</w:t>
            </w:r>
          </w:p>
        </w:tc>
        <w:tc>
          <w:tcPr>
            <w:tcW w:w="7541" w:type="dxa"/>
            <w:gridSpan w:val="4"/>
            <w:vAlign w:val="center"/>
          </w:tcPr>
          <w:p w14:paraId="12C86524">
            <w:pPr>
              <w:snapToGrid w:val="0"/>
              <w:rPr>
                <w:rFonts w:ascii="宋体" w:hAnsi="宋体"/>
                <w:b/>
                <w:color w:val="auto"/>
                <w:szCs w:val="24"/>
                <w:highlight w:val="none"/>
              </w:rPr>
            </w:pPr>
            <w:r>
              <w:rPr>
                <w:rFonts w:hint="eastAsia" w:ascii="宋体" w:hAnsi="宋体"/>
                <w:b/>
                <w:color w:val="auto"/>
                <w:szCs w:val="24"/>
                <w:highlight w:val="none"/>
              </w:rPr>
              <w:t>【</w:t>
            </w:r>
            <w:r>
              <w:rPr>
                <w:rFonts w:hint="eastAsia" w:ascii="宋体" w:hAnsi="宋体"/>
                <w:b/>
                <w:color w:val="auto"/>
                <w:szCs w:val="24"/>
                <w:highlight w:val="none"/>
                <w:lang w:eastAsia="zh-CN"/>
              </w:rPr>
              <w:t>Z7011826000206</w:t>
            </w:r>
            <w:r>
              <w:rPr>
                <w:rFonts w:hint="eastAsia" w:ascii="宋体" w:hAnsi="宋体"/>
                <w:b/>
                <w:color w:val="auto"/>
                <w:szCs w:val="24"/>
                <w:highlight w:val="none"/>
              </w:rPr>
              <w:t>】</w:t>
            </w:r>
            <w:r>
              <w:rPr>
                <w:rFonts w:hint="eastAsia" w:ascii="宋体" w:hAnsi="宋体"/>
                <w:color w:val="auto"/>
                <w:szCs w:val="24"/>
                <w:highlight w:val="none"/>
              </w:rPr>
              <w:t>投资者可根据该登记编码在中国理财网（www.chinawealth.com.cn）查询该产品信息。</w:t>
            </w:r>
          </w:p>
        </w:tc>
      </w:tr>
      <w:tr w14:paraId="0443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restart"/>
            <w:vAlign w:val="center"/>
          </w:tcPr>
          <w:p w14:paraId="0BB50D4D">
            <w:pPr>
              <w:snapToGrid w:val="0"/>
              <w:ind w:left="77" w:leftChars="26" w:hanging="15"/>
              <w:jc w:val="center"/>
              <w:rPr>
                <w:rFonts w:ascii="宋体" w:hAnsi="宋体"/>
                <w:color w:val="auto"/>
                <w:szCs w:val="24"/>
                <w:highlight w:val="none"/>
              </w:rPr>
            </w:pPr>
            <w:r>
              <w:rPr>
                <w:rFonts w:hint="eastAsia" w:ascii="宋体" w:hAnsi="宋体"/>
                <w:color w:val="auto"/>
                <w:kern w:val="0"/>
                <w:szCs w:val="24"/>
                <w:highlight w:val="none"/>
              </w:rPr>
              <w:t>份额分类</w:t>
            </w:r>
          </w:p>
        </w:tc>
        <w:tc>
          <w:tcPr>
            <w:tcW w:w="7541" w:type="dxa"/>
            <w:gridSpan w:val="4"/>
            <w:vAlign w:val="center"/>
          </w:tcPr>
          <w:p w14:paraId="5DF6D3A3">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本产品根据投资者购买理财产品的金额、销售渠道、客户类型等因素设置不同的产品份额类别，各类产品份额可能分别设置不同的销售名称、销售代码、销售渠道、销售客群、销售服务费率、收费方式、业绩比较基准、认</w:t>
            </w:r>
            <w:r>
              <w:rPr>
                <w:rFonts w:ascii="宋体" w:hAnsi="宋体" w:cs="宋体"/>
                <w:color w:val="auto"/>
                <w:kern w:val="0"/>
                <w:szCs w:val="24"/>
                <w:highlight w:val="none"/>
              </w:rPr>
              <w:t>/</w:t>
            </w:r>
            <w:r>
              <w:rPr>
                <w:rFonts w:hint="eastAsia" w:ascii="宋体" w:hAnsi="宋体" w:cs="宋体"/>
                <w:color w:val="auto"/>
                <w:kern w:val="0"/>
                <w:szCs w:val="24"/>
                <w:highlight w:val="none"/>
              </w:rPr>
              <w:t>申购起点金额</w:t>
            </w:r>
            <w:r>
              <w:rPr>
                <w:rFonts w:hint="eastAsia" w:ascii="仿宋_GB2312" w:hAnsi="宋体" w:cs="宋体"/>
                <w:color w:val="auto"/>
                <w:kern w:val="0"/>
                <w:szCs w:val="24"/>
                <w:highlight w:val="none"/>
              </w:rPr>
              <w:t>及递增金额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申购上限</w:t>
            </w:r>
            <w:r>
              <w:rPr>
                <w:rFonts w:ascii="宋体" w:hAnsi="宋体" w:cs="宋体"/>
                <w:color w:val="auto"/>
                <w:kern w:val="0"/>
                <w:szCs w:val="24"/>
                <w:highlight w:val="none"/>
              </w:rPr>
              <w:t>金额、</w:t>
            </w:r>
            <w:r>
              <w:rPr>
                <w:rFonts w:hint="eastAsia" w:ascii="宋体" w:hAnsi="宋体" w:cs="宋体"/>
                <w:color w:val="auto"/>
                <w:kern w:val="0"/>
                <w:szCs w:val="24"/>
                <w:highlight w:val="none"/>
              </w:rPr>
              <w:t>认</w:t>
            </w:r>
            <w:r>
              <w:rPr>
                <w:rFonts w:ascii="宋体" w:hAnsi="宋体" w:cs="宋体"/>
                <w:color w:val="auto"/>
                <w:kern w:val="0"/>
                <w:szCs w:val="24"/>
                <w:highlight w:val="none"/>
              </w:rPr>
              <w:t>/</w:t>
            </w:r>
            <w:r>
              <w:rPr>
                <w:rFonts w:hint="eastAsia" w:ascii="宋体" w:hAnsi="宋体" w:cs="宋体"/>
                <w:color w:val="auto"/>
                <w:kern w:val="0"/>
                <w:szCs w:val="24"/>
                <w:highlight w:val="none"/>
              </w:rPr>
              <w:t>申购和赎回数量限制、持有金额上/下限</w:t>
            </w:r>
            <w:r>
              <w:rPr>
                <w:rFonts w:hint="eastAsia"/>
                <w:color w:val="auto"/>
                <w:highlight w:val="none"/>
              </w:rPr>
              <w:t>、单一投资者持有份额占比上限、产品规模上限</w:t>
            </w:r>
            <w:r>
              <w:rPr>
                <w:rFonts w:hint="eastAsia" w:ascii="宋体" w:hAnsi="宋体" w:cs="宋体"/>
                <w:color w:val="auto"/>
                <w:kern w:val="0"/>
                <w:szCs w:val="24"/>
                <w:highlight w:val="none"/>
              </w:rPr>
              <w:t>等要素，并分别计算和公告各类产品份额单位净值，具体以对应的理财产品销售文件约定为准。</w:t>
            </w:r>
          </w:p>
          <w:p w14:paraId="554D30BD">
            <w:pPr>
              <w:snapToGrid w:val="0"/>
              <w:jc w:val="left"/>
              <w:rPr>
                <w:rFonts w:ascii="宋体" w:hAnsi="宋体" w:cs="宋体"/>
                <w:color w:val="auto"/>
                <w:kern w:val="0"/>
                <w:szCs w:val="24"/>
                <w:highlight w:val="none"/>
              </w:rPr>
            </w:pPr>
            <w:r>
              <w:rPr>
                <w:rFonts w:hint="eastAsia" w:ascii="宋体" w:hAnsi="宋体" w:cs="宋体"/>
                <w:color w:val="auto"/>
                <w:kern w:val="0"/>
                <w:szCs w:val="24"/>
                <w:highlight w:val="none"/>
              </w:rPr>
              <w:t>投资者可根据实际情况自行选择认/申购的产品份额类别。</w:t>
            </w:r>
          </w:p>
          <w:p w14:paraId="19EE8C14">
            <w:pPr>
              <w:snapToGrid w:val="0"/>
              <w:rPr>
                <w:rFonts w:ascii="宋体" w:hAnsi="宋体"/>
                <w:b/>
                <w:color w:val="auto"/>
                <w:szCs w:val="24"/>
                <w:highlight w:val="none"/>
              </w:rPr>
            </w:pPr>
            <w:r>
              <w:rPr>
                <w:rFonts w:hint="eastAsia" w:ascii="宋体" w:hAnsi="宋体" w:cs="宋体"/>
                <w:b/>
                <w:bCs/>
                <w:color w:val="auto"/>
                <w:kern w:val="0"/>
                <w:szCs w:val="24"/>
                <w:highlight w:val="none"/>
              </w:rPr>
              <w:t>产品管理人有权在本理财产品项下增设新的产品份额类别，届时，产品管理人将依据本理财产品销售文件的约定进行信息披露。</w:t>
            </w:r>
          </w:p>
        </w:tc>
      </w:tr>
      <w:tr w14:paraId="13C51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3B49A24F">
            <w:pPr>
              <w:snapToGrid w:val="0"/>
              <w:ind w:left="-163" w:leftChars="0" w:hanging="15"/>
              <w:jc w:val="center"/>
              <w:rPr>
                <w:rFonts w:ascii="宋体" w:hAnsi="宋体"/>
                <w:color w:val="auto"/>
                <w:kern w:val="0"/>
                <w:highlight w:val="none"/>
              </w:rPr>
            </w:pPr>
          </w:p>
        </w:tc>
        <w:tc>
          <w:tcPr>
            <w:tcW w:w="1885" w:type="dxa"/>
            <w:vAlign w:val="center"/>
          </w:tcPr>
          <w:p w14:paraId="5596CA89">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份额名称</w:t>
            </w:r>
          </w:p>
        </w:tc>
        <w:tc>
          <w:tcPr>
            <w:tcW w:w="1885" w:type="dxa"/>
            <w:vAlign w:val="center"/>
          </w:tcPr>
          <w:p w14:paraId="11BB70E8">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销售代码</w:t>
            </w:r>
          </w:p>
        </w:tc>
        <w:tc>
          <w:tcPr>
            <w:tcW w:w="1885" w:type="dxa"/>
            <w:vAlign w:val="center"/>
          </w:tcPr>
          <w:p w14:paraId="382CAC7B">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销售名称</w:t>
            </w:r>
          </w:p>
        </w:tc>
        <w:tc>
          <w:tcPr>
            <w:tcW w:w="1886" w:type="dxa"/>
            <w:vAlign w:val="center"/>
          </w:tcPr>
          <w:p w14:paraId="326FF762">
            <w:pPr>
              <w:snapToGrid w:val="0"/>
              <w:jc w:val="center"/>
              <w:rPr>
                <w:rFonts w:ascii="宋体" w:hAnsi="宋体" w:cs="宋体"/>
                <w:color w:val="auto"/>
                <w:kern w:val="0"/>
                <w:highlight w:val="none"/>
              </w:rPr>
            </w:pPr>
            <w:r>
              <w:rPr>
                <w:rFonts w:hint="eastAsia" w:ascii="宋体" w:hAnsi="宋体" w:cs="宋体"/>
                <w:color w:val="auto"/>
                <w:kern w:val="0"/>
                <w:szCs w:val="24"/>
                <w:highlight w:val="none"/>
              </w:rPr>
              <w:t>销售客群</w:t>
            </w:r>
          </w:p>
        </w:tc>
      </w:tr>
      <w:tr w14:paraId="51A61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7C459829">
            <w:pPr>
              <w:snapToGrid w:val="0"/>
              <w:ind w:left="-163" w:leftChars="0" w:hanging="15"/>
              <w:jc w:val="center"/>
              <w:rPr>
                <w:rFonts w:ascii="宋体" w:hAnsi="宋体"/>
                <w:color w:val="auto"/>
                <w:kern w:val="0"/>
                <w:highlight w:val="none"/>
              </w:rPr>
            </w:pPr>
          </w:p>
        </w:tc>
        <w:tc>
          <w:tcPr>
            <w:tcW w:w="1885" w:type="dxa"/>
            <w:vAlign w:val="center"/>
          </w:tcPr>
          <w:p w14:paraId="6A3A8ECC">
            <w:pPr>
              <w:snapToGrid w:val="0"/>
              <w:jc w:val="center"/>
              <w:rPr>
                <w:rFonts w:ascii="宋体" w:hAnsi="宋体" w:cs="宋体"/>
                <w:color w:val="auto"/>
                <w:kern w:val="0"/>
                <w:szCs w:val="24"/>
                <w:highlight w:val="none"/>
              </w:rPr>
            </w:pPr>
            <w:r>
              <w:rPr>
                <w:rFonts w:hint="eastAsia" w:ascii="宋体" w:hAnsi="宋体" w:cs="宋体"/>
                <w:color w:val="auto"/>
                <w:kern w:val="0"/>
                <w:szCs w:val="24"/>
                <w:highlight w:val="none"/>
              </w:rPr>
              <w:t>A份额</w:t>
            </w:r>
          </w:p>
        </w:tc>
        <w:tc>
          <w:tcPr>
            <w:tcW w:w="1885" w:type="dxa"/>
            <w:vAlign w:val="center"/>
          </w:tcPr>
          <w:p w14:paraId="6E3FF8DE">
            <w:pPr>
              <w:snapToGrid w:val="0"/>
              <w:jc w:val="center"/>
              <w:rPr>
                <w:rFonts w:hint="eastAsia" w:ascii="宋体" w:hAnsi="宋体" w:eastAsia="仿宋_GB2312" w:cs="宋体"/>
                <w:color w:val="auto"/>
                <w:kern w:val="0"/>
                <w:szCs w:val="24"/>
                <w:highlight w:val="none"/>
                <w:lang w:val="en-US" w:eastAsia="zh-CN"/>
              </w:rPr>
            </w:pPr>
            <w:r>
              <w:rPr>
                <w:rFonts w:hint="eastAsia"/>
                <w:lang w:eastAsia="zh-CN"/>
              </w:rPr>
              <w:t>ZYFCG0152</w:t>
            </w:r>
            <w:r>
              <w:rPr>
                <w:rFonts w:hint="eastAsia"/>
                <w:lang w:val="en-US" w:eastAsia="zh-CN"/>
              </w:rPr>
              <w:t>A</w:t>
            </w:r>
          </w:p>
        </w:tc>
        <w:tc>
          <w:tcPr>
            <w:tcW w:w="1885" w:type="dxa"/>
            <w:vAlign w:val="center"/>
          </w:tcPr>
          <w:p w14:paraId="5CB9A591">
            <w:pPr>
              <w:snapToGrid w:val="0"/>
              <w:jc w:val="center"/>
              <w:rPr>
                <w:rFonts w:hint="default" w:ascii="宋体" w:hAnsi="宋体" w:eastAsia="仿宋_GB2312"/>
                <w:color w:val="auto"/>
                <w:szCs w:val="24"/>
                <w:highlight w:val="none"/>
                <w:lang w:val="en-US" w:eastAsia="zh-CN"/>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琮简富春149号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A份额</w:t>
            </w:r>
          </w:p>
        </w:tc>
        <w:tc>
          <w:tcPr>
            <w:tcW w:w="1886" w:type="dxa"/>
            <w:vAlign w:val="center"/>
          </w:tcPr>
          <w:p w14:paraId="27699ACC">
            <w:pPr>
              <w:snapToGrid w:val="0"/>
              <w:jc w:val="center"/>
              <w:rPr>
                <w:rFonts w:hint="default" w:ascii="宋体" w:hAnsi="宋体" w:eastAsia="仿宋_GB2312" w:cs="宋体"/>
                <w:color w:val="auto"/>
                <w:kern w:val="0"/>
                <w:szCs w:val="24"/>
                <w:highlight w:val="none"/>
                <w:lang w:val="en-US" w:eastAsia="zh-CN"/>
              </w:rPr>
            </w:pPr>
            <w:r>
              <w:rPr>
                <w:rFonts w:hint="eastAsia" w:ascii="宋体" w:hAnsi="宋体" w:cs="宋体"/>
                <w:color w:val="auto"/>
                <w:kern w:val="0"/>
                <w:szCs w:val="24"/>
                <w:highlight w:val="none"/>
                <w:lang w:val="en-US" w:eastAsia="zh-CN"/>
              </w:rPr>
              <w:t>浙商银行、中原银行股份有限公司个人、机构客户</w:t>
            </w:r>
          </w:p>
        </w:tc>
      </w:tr>
      <w:tr w14:paraId="4FF2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446D107A">
            <w:pPr>
              <w:snapToGrid w:val="0"/>
              <w:ind w:left="-163" w:leftChars="0" w:hanging="15"/>
              <w:jc w:val="center"/>
              <w:rPr>
                <w:rFonts w:ascii="宋体" w:hAnsi="宋体"/>
                <w:color w:val="auto"/>
                <w:kern w:val="0"/>
                <w:highlight w:val="none"/>
              </w:rPr>
            </w:pPr>
          </w:p>
        </w:tc>
        <w:tc>
          <w:tcPr>
            <w:tcW w:w="1885" w:type="dxa"/>
            <w:vAlign w:val="center"/>
          </w:tcPr>
          <w:p w14:paraId="720D746B">
            <w:pPr>
              <w:snapToGrid w:val="0"/>
              <w:jc w:val="center"/>
              <w:rPr>
                <w:rFonts w:hint="eastAsia" w:ascii="宋体" w:hAnsi="宋体" w:cs="宋体"/>
                <w:color w:val="auto"/>
                <w:kern w:val="0"/>
                <w:szCs w:val="24"/>
                <w:highlight w:val="none"/>
              </w:rPr>
            </w:pPr>
            <w:r>
              <w:rPr>
                <w:rFonts w:hint="eastAsia" w:ascii="宋体" w:hAnsi="宋体" w:cs="宋体"/>
                <w:color w:val="auto"/>
                <w:kern w:val="0"/>
                <w:szCs w:val="24"/>
                <w:highlight w:val="none"/>
                <w:lang w:val="en-US" w:eastAsia="zh-CN"/>
              </w:rPr>
              <w:t>C</w:t>
            </w:r>
            <w:r>
              <w:rPr>
                <w:rFonts w:hint="eastAsia" w:ascii="宋体" w:hAnsi="宋体" w:cs="宋体"/>
                <w:color w:val="auto"/>
                <w:kern w:val="0"/>
                <w:szCs w:val="24"/>
                <w:highlight w:val="none"/>
              </w:rPr>
              <w:t>份额</w:t>
            </w:r>
          </w:p>
        </w:tc>
        <w:tc>
          <w:tcPr>
            <w:tcW w:w="1885" w:type="dxa"/>
            <w:vAlign w:val="center"/>
          </w:tcPr>
          <w:p w14:paraId="3F7F694F">
            <w:pPr>
              <w:snapToGrid w:val="0"/>
              <w:jc w:val="center"/>
              <w:rPr>
                <w:rFonts w:hint="default"/>
                <w:lang w:val="en-US" w:eastAsia="zh-CN"/>
              </w:rPr>
            </w:pPr>
            <w:r>
              <w:rPr>
                <w:rFonts w:hint="eastAsia"/>
                <w:lang w:eastAsia="zh-CN"/>
              </w:rPr>
              <w:t>ZYFCG0152</w:t>
            </w:r>
            <w:r>
              <w:rPr>
                <w:rFonts w:hint="eastAsia"/>
                <w:lang w:val="en-US" w:eastAsia="zh-CN"/>
              </w:rPr>
              <w:t>C</w:t>
            </w:r>
          </w:p>
        </w:tc>
        <w:tc>
          <w:tcPr>
            <w:tcW w:w="1885" w:type="dxa"/>
            <w:vAlign w:val="center"/>
          </w:tcPr>
          <w:p w14:paraId="7CC18C45">
            <w:pPr>
              <w:snapToGrid w:val="0"/>
              <w:jc w:val="center"/>
              <w:rPr>
                <w:rFonts w:hint="eastAsia"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琮简富春149号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C份额</w:t>
            </w:r>
          </w:p>
        </w:tc>
        <w:tc>
          <w:tcPr>
            <w:tcW w:w="1886" w:type="dxa"/>
            <w:vAlign w:val="center"/>
          </w:tcPr>
          <w:p w14:paraId="1E6F6A64">
            <w:pPr>
              <w:snapToGrid w:val="0"/>
              <w:jc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中原银行股份有限公司、赣州银行股份有限公司个人、机构客户</w:t>
            </w:r>
          </w:p>
        </w:tc>
      </w:tr>
      <w:tr w14:paraId="68A45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Merge w:val="continue"/>
            <w:vAlign w:val="center"/>
          </w:tcPr>
          <w:p w14:paraId="33AE758A">
            <w:pPr>
              <w:snapToGrid w:val="0"/>
              <w:ind w:left="-163" w:leftChars="0" w:hanging="15"/>
              <w:jc w:val="center"/>
              <w:rPr>
                <w:rFonts w:ascii="宋体" w:hAnsi="宋体"/>
                <w:color w:val="auto"/>
                <w:kern w:val="0"/>
                <w:highlight w:val="none"/>
              </w:rPr>
            </w:pPr>
          </w:p>
        </w:tc>
        <w:tc>
          <w:tcPr>
            <w:tcW w:w="1885" w:type="dxa"/>
            <w:vAlign w:val="center"/>
          </w:tcPr>
          <w:p w14:paraId="1BA70BCF">
            <w:pPr>
              <w:snapToGrid w:val="0"/>
              <w:jc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H</w:t>
            </w:r>
            <w:r>
              <w:rPr>
                <w:rFonts w:hint="eastAsia" w:ascii="宋体" w:hAnsi="宋体" w:cs="宋体"/>
                <w:color w:val="auto"/>
                <w:kern w:val="0"/>
                <w:szCs w:val="24"/>
                <w:highlight w:val="none"/>
              </w:rPr>
              <w:t>份额</w:t>
            </w:r>
          </w:p>
        </w:tc>
        <w:tc>
          <w:tcPr>
            <w:tcW w:w="1885" w:type="dxa"/>
            <w:vAlign w:val="center"/>
          </w:tcPr>
          <w:p w14:paraId="1C13BFAC">
            <w:pPr>
              <w:snapToGrid w:val="0"/>
              <w:jc w:val="center"/>
              <w:rPr>
                <w:rFonts w:hint="default" w:eastAsia="仿宋_GB2312"/>
                <w:lang w:val="en-US" w:eastAsia="zh-CN"/>
              </w:rPr>
            </w:pPr>
            <w:r>
              <w:rPr>
                <w:rFonts w:hint="eastAsia"/>
                <w:lang w:eastAsia="zh-CN"/>
              </w:rPr>
              <w:t>ZYFCG0152</w:t>
            </w:r>
            <w:r>
              <w:rPr>
                <w:rFonts w:hint="eastAsia"/>
                <w:lang w:val="en-US" w:eastAsia="zh-CN"/>
              </w:rPr>
              <w:t>H</w:t>
            </w:r>
          </w:p>
        </w:tc>
        <w:tc>
          <w:tcPr>
            <w:tcW w:w="1885" w:type="dxa"/>
            <w:vAlign w:val="center"/>
          </w:tcPr>
          <w:p w14:paraId="2401AB56">
            <w:pPr>
              <w:snapToGrid w:val="0"/>
              <w:jc w:val="center"/>
              <w:rPr>
                <w:rFonts w:hint="eastAsia" w:ascii="宋体" w:hAnsi="宋体"/>
                <w:color w:val="auto"/>
                <w:szCs w:val="24"/>
                <w:highlight w:val="none"/>
              </w:rPr>
            </w:pPr>
            <w:r>
              <w:rPr>
                <w:rFonts w:hint="eastAsia" w:ascii="宋体" w:hAnsi="宋体"/>
                <w:color w:val="auto"/>
                <w:szCs w:val="24"/>
                <w:highlight w:val="none"/>
              </w:rPr>
              <w:t>浙银理财</w:t>
            </w:r>
            <w:r>
              <w:rPr>
                <w:rFonts w:hint="eastAsia" w:ascii="宋体" w:hAnsi="宋体"/>
                <w:color w:val="auto"/>
                <w:szCs w:val="24"/>
                <w:highlight w:val="none"/>
                <w:lang w:eastAsia="zh-CN"/>
              </w:rPr>
              <w:t>琮简富春149号</w:t>
            </w:r>
            <w:r>
              <w:rPr>
                <w:rFonts w:hint="eastAsia" w:ascii="宋体" w:hAnsi="宋体"/>
                <w:color w:val="auto"/>
                <w:szCs w:val="24"/>
                <w:highlight w:val="none"/>
              </w:rPr>
              <w:t>理财产品</w:t>
            </w:r>
            <w:r>
              <w:rPr>
                <w:rFonts w:hint="eastAsia" w:ascii="宋体" w:hAnsi="宋体"/>
                <w:color w:val="auto"/>
                <w:szCs w:val="24"/>
                <w:highlight w:val="none"/>
                <w:lang w:val="en-US" w:eastAsia="zh-CN"/>
              </w:rPr>
              <w:t>H份额</w:t>
            </w:r>
          </w:p>
        </w:tc>
        <w:tc>
          <w:tcPr>
            <w:tcW w:w="1886" w:type="dxa"/>
            <w:vAlign w:val="center"/>
          </w:tcPr>
          <w:p w14:paraId="69C6D453">
            <w:pPr>
              <w:snapToGrid w:val="0"/>
              <w:jc w:val="center"/>
              <w:rPr>
                <w:rFonts w:hint="eastAsia" w:ascii="宋体" w:hAnsi="宋体" w:cs="宋体"/>
                <w:color w:val="auto"/>
                <w:kern w:val="0"/>
                <w:szCs w:val="24"/>
                <w:highlight w:val="none"/>
                <w:lang w:val="en-US" w:eastAsia="zh-CN"/>
              </w:rPr>
            </w:pPr>
            <w:r>
              <w:rPr>
                <w:rFonts w:hint="eastAsia" w:ascii="宋体" w:hAnsi="宋体" w:cs="宋体"/>
                <w:color w:val="auto"/>
                <w:kern w:val="0"/>
                <w:szCs w:val="24"/>
                <w:highlight w:val="none"/>
                <w:lang w:val="en-US" w:eastAsia="zh-CN"/>
              </w:rPr>
              <w:t>浙商银行认定的符合“</w:t>
            </w:r>
            <w:bookmarkStart w:id="0" w:name="_GoBack"/>
            <w:bookmarkEnd w:id="0"/>
            <w:r>
              <w:rPr>
                <w:rFonts w:hint="eastAsia" w:ascii="宋体" w:hAnsi="宋体" w:cs="宋体"/>
                <w:color w:val="auto"/>
                <w:kern w:val="0"/>
                <w:szCs w:val="24"/>
                <w:highlight w:val="none"/>
                <w:lang w:val="en-US" w:eastAsia="zh-CN"/>
              </w:rPr>
              <w:t>深耕浙江”客群定义的个人客户，“深耕浙江”客群指在浙商银行浙江省内分行网点开户的客户。</w:t>
            </w:r>
          </w:p>
        </w:tc>
      </w:tr>
      <w:tr w14:paraId="4593F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D71A99E">
            <w:pPr>
              <w:snapToGrid w:val="0"/>
              <w:ind w:left="77" w:leftChars="26" w:hanging="15"/>
              <w:jc w:val="center"/>
              <w:rPr>
                <w:rFonts w:ascii="宋体" w:hAnsi="宋体"/>
                <w:color w:val="auto"/>
                <w:szCs w:val="24"/>
                <w:highlight w:val="none"/>
              </w:rPr>
            </w:pPr>
            <w:r>
              <w:rPr>
                <w:rFonts w:hint="eastAsia" w:ascii="宋体" w:hAnsi="宋体"/>
                <w:color w:val="auto"/>
                <w:kern w:val="0"/>
                <w:highlight w:val="none"/>
              </w:rPr>
              <w:t>理财</w:t>
            </w:r>
            <w:r>
              <w:rPr>
                <w:rFonts w:ascii="宋体" w:hAnsi="宋体"/>
                <w:color w:val="auto"/>
                <w:kern w:val="0"/>
                <w:highlight w:val="none"/>
              </w:rPr>
              <w:t>产品</w:t>
            </w:r>
            <w:r>
              <w:rPr>
                <w:rFonts w:hint="eastAsia" w:ascii="宋体" w:hAnsi="宋体"/>
                <w:color w:val="auto"/>
                <w:kern w:val="0"/>
                <w:highlight w:val="none"/>
              </w:rPr>
              <w:t>管理人</w:t>
            </w:r>
          </w:p>
        </w:tc>
        <w:tc>
          <w:tcPr>
            <w:tcW w:w="7541" w:type="dxa"/>
            <w:gridSpan w:val="4"/>
            <w:vAlign w:val="center"/>
          </w:tcPr>
          <w:p w14:paraId="17D21FE1">
            <w:pPr>
              <w:snapToGrid w:val="0"/>
              <w:rPr>
                <w:rFonts w:ascii="宋体" w:hAnsi="宋体"/>
                <w:color w:val="auto"/>
                <w:szCs w:val="24"/>
                <w:highlight w:val="none"/>
              </w:rPr>
            </w:pPr>
            <w:r>
              <w:rPr>
                <w:rFonts w:hint="eastAsia" w:ascii="宋体" w:hAnsi="宋体" w:cs="宋体"/>
                <w:color w:val="auto"/>
                <w:kern w:val="0"/>
                <w:highlight w:val="none"/>
              </w:rPr>
              <w:t>浙银理财有限责任公司</w:t>
            </w:r>
          </w:p>
        </w:tc>
      </w:tr>
      <w:tr w14:paraId="0A467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6AD2846">
            <w:pPr>
              <w:snapToGrid w:val="0"/>
              <w:ind w:left="77" w:leftChars="26" w:hanging="15"/>
              <w:jc w:val="center"/>
              <w:rPr>
                <w:rFonts w:ascii="宋体" w:hAnsi="宋体"/>
                <w:color w:val="auto"/>
                <w:szCs w:val="24"/>
                <w:highlight w:val="none"/>
              </w:rPr>
            </w:pPr>
            <w:r>
              <w:rPr>
                <w:rFonts w:hint="eastAsia" w:ascii="宋体" w:hAnsi="宋体"/>
                <w:color w:val="auto"/>
                <w:kern w:val="0"/>
                <w:highlight w:val="none"/>
              </w:rPr>
              <w:t>理财产品托管人</w:t>
            </w:r>
          </w:p>
        </w:tc>
        <w:tc>
          <w:tcPr>
            <w:tcW w:w="7541" w:type="dxa"/>
            <w:gridSpan w:val="4"/>
            <w:vAlign w:val="center"/>
          </w:tcPr>
          <w:p w14:paraId="439D9CC2">
            <w:pPr>
              <w:snapToGrid w:val="0"/>
              <w:rPr>
                <w:rFonts w:hint="default" w:ascii="宋体" w:hAnsi="宋体" w:eastAsia="仿宋_GB2312"/>
                <w:color w:val="auto"/>
                <w:szCs w:val="24"/>
                <w:highlight w:val="none"/>
                <w:lang w:val="en-US" w:eastAsia="zh-CN"/>
              </w:rPr>
            </w:pPr>
            <w:r>
              <w:rPr>
                <w:rFonts w:hint="eastAsia" w:ascii="宋体" w:hAnsi="宋体" w:cs="宋体"/>
                <w:color w:val="auto"/>
                <w:kern w:val="0"/>
                <w:highlight w:val="none"/>
                <w:lang w:val="en-US" w:eastAsia="zh-CN"/>
              </w:rPr>
              <w:t>浙商银行股份有限公司</w:t>
            </w:r>
          </w:p>
        </w:tc>
      </w:tr>
      <w:tr w14:paraId="46181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A9A00A5">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发行方式</w:t>
            </w:r>
          </w:p>
        </w:tc>
        <w:tc>
          <w:tcPr>
            <w:tcW w:w="7541" w:type="dxa"/>
            <w:gridSpan w:val="4"/>
            <w:vAlign w:val="center"/>
          </w:tcPr>
          <w:p w14:paraId="54908325">
            <w:pPr>
              <w:snapToGrid w:val="0"/>
              <w:rPr>
                <w:rFonts w:ascii="宋体" w:hAnsi="宋体"/>
                <w:color w:val="auto"/>
                <w:szCs w:val="24"/>
                <w:highlight w:val="none"/>
              </w:rPr>
            </w:pPr>
            <w:r>
              <w:rPr>
                <w:rFonts w:hint="eastAsia" w:ascii="宋体" w:hAnsi="宋体"/>
                <w:b/>
                <w:bCs/>
                <w:color w:val="auto"/>
                <w:szCs w:val="24"/>
                <w:highlight w:val="none"/>
              </w:rPr>
              <w:t>【公募</w:t>
            </w:r>
            <w:r>
              <w:rPr>
                <w:rFonts w:ascii="宋体" w:hAnsi="宋体"/>
                <w:b/>
                <w:bCs/>
                <w:color w:val="auto"/>
                <w:szCs w:val="24"/>
                <w:highlight w:val="none"/>
              </w:rPr>
              <w:t>】</w:t>
            </w:r>
            <w:r>
              <w:rPr>
                <w:rFonts w:hint="eastAsia" w:ascii="宋体" w:hAnsi="宋体"/>
                <w:b/>
                <w:bCs/>
                <w:color w:val="auto"/>
                <w:szCs w:val="24"/>
                <w:highlight w:val="none"/>
              </w:rPr>
              <w:t>发行</w:t>
            </w:r>
          </w:p>
        </w:tc>
      </w:tr>
      <w:tr w14:paraId="27E6A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DE07356">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理财本金及收益类型</w:t>
            </w:r>
          </w:p>
        </w:tc>
        <w:tc>
          <w:tcPr>
            <w:tcW w:w="7541" w:type="dxa"/>
            <w:gridSpan w:val="4"/>
            <w:vAlign w:val="center"/>
          </w:tcPr>
          <w:p w14:paraId="598E6627">
            <w:pPr>
              <w:snapToGrid w:val="0"/>
              <w:rPr>
                <w:rFonts w:ascii="宋体" w:hAnsi="宋体"/>
                <w:color w:val="auto"/>
                <w:szCs w:val="24"/>
                <w:highlight w:val="none"/>
              </w:rPr>
            </w:pPr>
            <w:r>
              <w:rPr>
                <w:rFonts w:hint="eastAsia" w:ascii="宋体" w:hAnsi="宋体"/>
                <w:color w:val="auto"/>
                <w:szCs w:val="24"/>
                <w:highlight w:val="none"/>
              </w:rPr>
              <w:t>非保本浮动收益。本产品不保证理财本金且不保证收益。本产品的收益随投资收益浮动，投资者可能会因市场变动而蒙受损失。</w:t>
            </w:r>
          </w:p>
          <w:p w14:paraId="02371137">
            <w:pPr>
              <w:snapToGrid w:val="0"/>
              <w:rPr>
                <w:rFonts w:ascii="宋体" w:hAnsi="宋体"/>
                <w:color w:val="auto"/>
                <w:szCs w:val="24"/>
                <w:highlight w:val="none"/>
              </w:rPr>
            </w:pPr>
            <w:r>
              <w:rPr>
                <w:rFonts w:hint="eastAsia" w:ascii="宋体" w:hAnsi="宋体"/>
                <w:color w:val="auto"/>
                <w:szCs w:val="24"/>
                <w:highlight w:val="none"/>
              </w:rPr>
              <w:t>理财产品管理人对本产品的本金并不提供保证，也不承诺任何固定收益。</w:t>
            </w:r>
          </w:p>
        </w:tc>
      </w:tr>
      <w:tr w14:paraId="31D10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ECB5FF7">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产品类型</w:t>
            </w:r>
          </w:p>
        </w:tc>
        <w:tc>
          <w:tcPr>
            <w:tcW w:w="7541" w:type="dxa"/>
            <w:gridSpan w:val="4"/>
            <w:vAlign w:val="center"/>
          </w:tcPr>
          <w:p w14:paraId="6948688B">
            <w:pPr>
              <w:snapToGrid w:val="0"/>
              <w:rPr>
                <w:rFonts w:ascii="宋体" w:hAnsi="宋体"/>
                <w:color w:val="auto"/>
                <w:szCs w:val="24"/>
                <w:highlight w:val="none"/>
              </w:rPr>
            </w:pPr>
            <w:r>
              <w:rPr>
                <w:rFonts w:hint="eastAsia" w:ascii="宋体" w:hAnsi="宋体"/>
                <w:color w:val="auto"/>
                <w:szCs w:val="24"/>
                <w:highlight w:val="none"/>
              </w:rPr>
              <w:t>固定收益类</w:t>
            </w:r>
          </w:p>
        </w:tc>
      </w:tr>
      <w:tr w14:paraId="6CAC6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2939CFD1">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w:t>
            </w:r>
            <w:r>
              <w:rPr>
                <w:rFonts w:ascii="宋体" w:hAnsi="宋体"/>
                <w:color w:val="auto"/>
                <w:szCs w:val="24"/>
                <w:highlight w:val="none"/>
              </w:rPr>
              <w:t>运作</w:t>
            </w:r>
            <w:r>
              <w:rPr>
                <w:rFonts w:hint="eastAsia" w:ascii="宋体" w:hAnsi="宋体"/>
                <w:color w:val="auto"/>
                <w:szCs w:val="24"/>
                <w:highlight w:val="none"/>
              </w:rPr>
              <w:t>模式</w:t>
            </w:r>
          </w:p>
        </w:tc>
        <w:tc>
          <w:tcPr>
            <w:tcW w:w="7541" w:type="dxa"/>
            <w:gridSpan w:val="4"/>
            <w:vAlign w:val="center"/>
          </w:tcPr>
          <w:p w14:paraId="19124B24">
            <w:pPr>
              <w:snapToGrid w:val="0"/>
              <w:rPr>
                <w:rFonts w:ascii="宋体" w:hAnsi="宋体"/>
                <w:color w:val="auto"/>
                <w:szCs w:val="24"/>
                <w:highlight w:val="none"/>
              </w:rPr>
            </w:pPr>
            <w:r>
              <w:rPr>
                <w:rFonts w:hint="eastAsia" w:ascii="宋体" w:hAnsi="宋体"/>
                <w:color w:val="auto"/>
                <w:szCs w:val="24"/>
                <w:highlight w:val="none"/>
              </w:rPr>
              <w:t>封闭式净值型</w:t>
            </w:r>
          </w:p>
        </w:tc>
      </w:tr>
      <w:tr w14:paraId="6A03D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76B1FDA">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理财币种</w:t>
            </w:r>
          </w:p>
        </w:tc>
        <w:tc>
          <w:tcPr>
            <w:tcW w:w="7541" w:type="dxa"/>
            <w:gridSpan w:val="4"/>
            <w:vAlign w:val="center"/>
          </w:tcPr>
          <w:p w14:paraId="2B8AA0CD">
            <w:pPr>
              <w:autoSpaceDE w:val="0"/>
              <w:autoSpaceDN w:val="0"/>
              <w:adjustRightInd w:val="0"/>
              <w:snapToGrid w:val="0"/>
              <w:rPr>
                <w:rFonts w:ascii="宋体" w:hAnsi="宋体"/>
                <w:color w:val="auto"/>
                <w:szCs w:val="24"/>
                <w:highlight w:val="none"/>
              </w:rPr>
            </w:pPr>
            <w:r>
              <w:rPr>
                <w:rFonts w:hint="eastAsia" w:ascii="宋体" w:hAnsi="宋体"/>
                <w:color w:val="auto"/>
                <w:szCs w:val="24"/>
                <w:highlight w:val="none"/>
              </w:rPr>
              <w:t>人民币</w:t>
            </w:r>
          </w:p>
        </w:tc>
      </w:tr>
      <w:tr w14:paraId="78E6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6294FD7">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产品风险等级</w:t>
            </w:r>
          </w:p>
        </w:tc>
        <w:tc>
          <w:tcPr>
            <w:tcW w:w="7541" w:type="dxa"/>
            <w:gridSpan w:val="4"/>
            <w:vAlign w:val="center"/>
          </w:tcPr>
          <w:p w14:paraId="6C512A69">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【R</w:t>
            </w:r>
            <w:r>
              <w:rPr>
                <w:rFonts w:hint="eastAsia" w:ascii="宋体" w:hAnsi="宋体"/>
                <w:b/>
                <w:bCs/>
                <w:color w:val="auto"/>
                <w:szCs w:val="24"/>
                <w:highlight w:val="none"/>
                <w:lang w:val="en-US" w:eastAsia="zh-CN"/>
              </w:rPr>
              <w:t>2</w:t>
            </w:r>
            <w:r>
              <w:rPr>
                <w:rFonts w:hint="eastAsia" w:ascii="宋体" w:hAnsi="宋体"/>
                <w:b/>
                <w:bCs/>
                <w:color w:val="auto"/>
                <w:szCs w:val="24"/>
                <w:highlight w:val="none"/>
              </w:rPr>
              <w:t>】对应风险等级为【</w:t>
            </w:r>
            <w:r>
              <w:rPr>
                <w:rFonts w:hint="eastAsia" w:ascii="宋体" w:hAnsi="宋体"/>
                <w:b/>
                <w:bCs/>
                <w:color w:val="auto"/>
                <w:szCs w:val="24"/>
                <w:highlight w:val="none"/>
                <w:lang w:val="en-US" w:eastAsia="zh-CN"/>
              </w:rPr>
              <w:t>中</w:t>
            </w:r>
            <w:r>
              <w:rPr>
                <w:rFonts w:hint="eastAsia" w:ascii="宋体" w:hAnsi="宋体"/>
                <w:b/>
                <w:bCs/>
                <w:color w:val="auto"/>
                <w:szCs w:val="24"/>
                <w:highlight w:val="none"/>
              </w:rPr>
              <w:t>低风险】</w:t>
            </w:r>
            <w:r>
              <w:rPr>
                <w:rFonts w:hint="eastAsia" w:ascii="宋体" w:hAnsi="宋体"/>
                <w:color w:val="auto"/>
                <w:szCs w:val="24"/>
                <w:highlight w:val="none"/>
              </w:rPr>
              <w:t>。</w:t>
            </w:r>
          </w:p>
          <w:p w14:paraId="40C20365">
            <w:pPr>
              <w:widowControl/>
              <w:tabs>
                <w:tab w:val="left" w:pos="709"/>
              </w:tabs>
              <w:snapToGrid w:val="0"/>
              <w:rPr>
                <w:rFonts w:ascii="宋体" w:hAnsi="宋体"/>
                <w:color w:val="auto"/>
                <w:szCs w:val="24"/>
                <w:highlight w:val="none"/>
              </w:rPr>
            </w:pPr>
            <w:r>
              <w:rPr>
                <w:rFonts w:hint="eastAsia" w:ascii="宋体" w:hAnsi="宋体"/>
                <w:color w:val="auto"/>
                <w:szCs w:val="24"/>
                <w:highlight w:val="none"/>
              </w:rPr>
              <w:t>本评级为管理人内部测评结果，仅供投资者参考。</w:t>
            </w:r>
            <w:r>
              <w:rPr>
                <w:rFonts w:hint="eastAsia" w:ascii="宋体" w:hAnsi="宋体"/>
                <w:b/>
                <w:color w:val="auto"/>
                <w:szCs w:val="24"/>
                <w:highlight w:val="none"/>
              </w:rPr>
              <w:t>本产品通过代理销售机构渠道销售的，理财产品评级应当以代理销售机构最终披露的评级结果为准。</w:t>
            </w:r>
            <w:r>
              <w:rPr>
                <w:rFonts w:ascii="宋体" w:hAnsi="宋体"/>
                <w:color w:val="auto"/>
                <w:szCs w:val="24"/>
                <w:highlight w:val="none"/>
              </w:rPr>
              <w:t>(</w:t>
            </w:r>
            <w:r>
              <w:rPr>
                <w:rFonts w:hint="eastAsia" w:ascii="宋体" w:hAnsi="宋体"/>
                <w:color w:val="auto"/>
                <w:szCs w:val="24"/>
                <w:highlight w:val="none"/>
              </w:rPr>
              <w:t>管理</w:t>
            </w:r>
            <w:r>
              <w:rPr>
                <w:rFonts w:ascii="宋体" w:hAnsi="宋体"/>
                <w:color w:val="auto"/>
                <w:szCs w:val="24"/>
                <w:highlight w:val="none"/>
              </w:rPr>
              <w:t>人与</w:t>
            </w:r>
            <w:r>
              <w:rPr>
                <w:rFonts w:hint="eastAsia" w:ascii="宋体" w:hAnsi="宋体"/>
                <w:color w:val="auto"/>
                <w:szCs w:val="24"/>
                <w:highlight w:val="none"/>
              </w:rPr>
              <w:t>代理</w:t>
            </w:r>
            <w:r>
              <w:rPr>
                <w:rFonts w:ascii="宋体" w:hAnsi="宋体"/>
                <w:color w:val="auto"/>
                <w:szCs w:val="24"/>
                <w:highlight w:val="none"/>
              </w:rPr>
              <w:t>销售机构</w:t>
            </w:r>
            <w:r>
              <w:rPr>
                <w:rFonts w:hint="eastAsia" w:ascii="宋体" w:hAnsi="宋体"/>
                <w:color w:val="auto"/>
                <w:szCs w:val="24"/>
                <w:highlight w:val="none"/>
              </w:rPr>
              <w:t>的</w:t>
            </w:r>
            <w:r>
              <w:rPr>
                <w:rFonts w:ascii="宋体" w:hAnsi="宋体"/>
                <w:color w:val="auto"/>
                <w:szCs w:val="24"/>
                <w:highlight w:val="none"/>
              </w:rPr>
              <w:t>风险</w:t>
            </w:r>
            <w:r>
              <w:rPr>
                <w:rFonts w:hint="eastAsia" w:ascii="宋体" w:hAnsi="宋体"/>
                <w:color w:val="auto"/>
                <w:szCs w:val="24"/>
                <w:highlight w:val="none"/>
              </w:rPr>
              <w:t>等级评估结果</w:t>
            </w:r>
            <w:r>
              <w:rPr>
                <w:rFonts w:ascii="宋体" w:hAnsi="宋体"/>
                <w:color w:val="auto"/>
                <w:szCs w:val="24"/>
                <w:highlight w:val="none"/>
              </w:rPr>
              <w:t>不一致的应采用</w:t>
            </w:r>
            <w:r>
              <w:rPr>
                <w:rFonts w:hint="eastAsia" w:ascii="宋体" w:hAnsi="宋体"/>
                <w:color w:val="auto"/>
                <w:szCs w:val="24"/>
                <w:highlight w:val="none"/>
              </w:rPr>
              <w:t>对应</w:t>
            </w:r>
            <w:r>
              <w:rPr>
                <w:rFonts w:ascii="宋体" w:hAnsi="宋体"/>
                <w:color w:val="auto"/>
                <w:szCs w:val="24"/>
                <w:highlight w:val="none"/>
              </w:rPr>
              <w:t>较高风险</w:t>
            </w:r>
            <w:r>
              <w:rPr>
                <w:rFonts w:hint="eastAsia" w:ascii="宋体" w:hAnsi="宋体"/>
                <w:color w:val="auto"/>
                <w:szCs w:val="24"/>
                <w:highlight w:val="none"/>
              </w:rPr>
              <w:t>的</w:t>
            </w:r>
            <w:r>
              <w:rPr>
                <w:rFonts w:ascii="宋体" w:hAnsi="宋体"/>
                <w:color w:val="auto"/>
                <w:szCs w:val="24"/>
                <w:highlight w:val="none"/>
              </w:rPr>
              <w:t>评级</w:t>
            </w:r>
            <w:r>
              <w:rPr>
                <w:rFonts w:hint="eastAsia" w:ascii="宋体" w:hAnsi="宋体"/>
                <w:color w:val="auto"/>
                <w:szCs w:val="24"/>
                <w:highlight w:val="none"/>
              </w:rPr>
              <w:t>结果。</w:t>
            </w:r>
            <w:r>
              <w:rPr>
                <w:rFonts w:ascii="宋体" w:hAnsi="宋体"/>
                <w:color w:val="auto"/>
                <w:szCs w:val="24"/>
                <w:highlight w:val="none"/>
              </w:rPr>
              <w:t>)</w:t>
            </w:r>
          </w:p>
          <w:p w14:paraId="13041628">
            <w:pPr>
              <w:widowControl/>
              <w:tabs>
                <w:tab w:val="left" w:pos="709"/>
              </w:tabs>
              <w:snapToGrid w:val="0"/>
              <w:rPr>
                <w:rFonts w:ascii="宋体" w:hAnsi="宋体"/>
                <w:color w:val="auto"/>
                <w:szCs w:val="24"/>
                <w:highlight w:val="none"/>
              </w:rPr>
            </w:pPr>
            <w:r>
              <w:rPr>
                <w:rFonts w:hint="eastAsia" w:ascii="宋体" w:hAnsi="宋体"/>
                <w:b/>
                <w:bCs/>
                <w:color w:val="auto"/>
                <w:szCs w:val="24"/>
                <w:highlight w:val="none"/>
              </w:rPr>
              <w:t>产品管理人在符合监管政策的前提下可对产品风险评级进行动态管理，如产品风险等级发生调整，将提前通过本《产品说明书》“信息披露”约定的方式通知投资者。</w:t>
            </w:r>
          </w:p>
        </w:tc>
      </w:tr>
      <w:tr w14:paraId="1ED16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C386A9B">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投资者范围</w:t>
            </w:r>
          </w:p>
        </w:tc>
        <w:tc>
          <w:tcPr>
            <w:tcW w:w="7541" w:type="dxa"/>
            <w:gridSpan w:val="4"/>
            <w:vAlign w:val="center"/>
          </w:tcPr>
          <w:p w14:paraId="3253CFB1">
            <w:pPr>
              <w:snapToGrid w:val="0"/>
              <w:rPr>
                <w:rFonts w:ascii="宋体" w:hAnsi="宋体"/>
                <w:color w:val="auto"/>
                <w:szCs w:val="24"/>
                <w:highlight w:val="none"/>
              </w:rPr>
            </w:pPr>
            <w:r>
              <w:rPr>
                <w:rFonts w:hint="eastAsia" w:ascii="宋体" w:hAnsi="宋体"/>
                <w:color w:val="auto"/>
                <w:szCs w:val="24"/>
                <w:highlight w:val="none"/>
              </w:rPr>
              <w:t>不特定社会公众（个人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投资者）；其中，普通投资者应符合相关法律法规、监管规定，经销售机构评估评定投资者风险承受能力与本产品风险等级相适应。</w:t>
            </w:r>
          </w:p>
          <w:p w14:paraId="0CA2C465">
            <w:pPr>
              <w:snapToGrid w:val="0"/>
              <w:rPr>
                <w:rFonts w:ascii="宋体" w:hAnsi="宋体"/>
                <w:color w:val="auto"/>
                <w:szCs w:val="24"/>
                <w:highlight w:val="none"/>
              </w:rPr>
            </w:pPr>
            <w:r>
              <w:rPr>
                <w:rFonts w:hint="eastAsia" w:ascii="宋体" w:hAnsi="宋体"/>
                <w:color w:val="auto"/>
                <w:szCs w:val="24"/>
                <w:highlight w:val="none"/>
              </w:rPr>
              <w:t>本产品通过销售机构销售的，产品风险等级应当以销售机构最终披露的评级结果为准。</w:t>
            </w:r>
          </w:p>
        </w:tc>
      </w:tr>
      <w:tr w14:paraId="6CE14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38799D8">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认购、申购起点金额及递增</w:t>
            </w:r>
            <w:r>
              <w:rPr>
                <w:rFonts w:ascii="宋体" w:hAnsi="宋体"/>
                <w:color w:val="auto"/>
                <w:szCs w:val="24"/>
                <w:highlight w:val="none"/>
              </w:rPr>
              <w:t>金额</w:t>
            </w:r>
          </w:p>
        </w:tc>
        <w:tc>
          <w:tcPr>
            <w:tcW w:w="7541" w:type="dxa"/>
            <w:gridSpan w:val="4"/>
            <w:vAlign w:val="center"/>
          </w:tcPr>
          <w:p w14:paraId="5953B9A4">
            <w:pPr>
              <w:snapToGrid w:val="0"/>
              <w:rPr>
                <w:rFonts w:hint="eastAsia" w:ascii="宋体" w:hAnsi="宋体"/>
                <w:color w:val="auto"/>
                <w:szCs w:val="24"/>
                <w:highlight w:val="none"/>
              </w:rPr>
            </w:pPr>
            <w:r>
              <w:rPr>
                <w:rFonts w:hint="eastAsia" w:ascii="宋体" w:hAnsi="宋体"/>
                <w:color w:val="auto"/>
                <w:szCs w:val="24"/>
                <w:highlight w:val="none"/>
              </w:rPr>
              <w:t>【A份额】认购起点为【</w:t>
            </w:r>
            <w:r>
              <w:rPr>
                <w:rFonts w:hint="eastAsia" w:ascii="宋体" w:hAnsi="宋体"/>
                <w:color w:val="auto"/>
                <w:szCs w:val="24"/>
                <w:highlight w:val="none"/>
                <w:lang w:val="en-US" w:eastAsia="zh-CN"/>
              </w:rPr>
              <w:t>1</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7951DB17">
            <w:pPr>
              <w:snapToGrid w:val="0"/>
              <w:rPr>
                <w:rFonts w:hint="eastAsia"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C份额</w:t>
            </w:r>
            <w:r>
              <w:rPr>
                <w:rFonts w:hint="eastAsia" w:ascii="宋体" w:hAnsi="宋体"/>
                <w:color w:val="auto"/>
                <w:szCs w:val="24"/>
                <w:highlight w:val="none"/>
              </w:rPr>
              <w:t>】认购起点为【</w:t>
            </w:r>
            <w:r>
              <w:rPr>
                <w:rFonts w:hint="eastAsia" w:ascii="宋体" w:hAnsi="宋体"/>
                <w:color w:val="auto"/>
                <w:szCs w:val="24"/>
                <w:highlight w:val="none"/>
                <w:lang w:val="en-US" w:eastAsia="zh-CN"/>
              </w:rPr>
              <w:t>1</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51B4FC4B">
            <w:pPr>
              <w:snapToGrid w:val="0"/>
              <w:rPr>
                <w:rFonts w:hint="eastAsia" w:ascii="宋体" w:hAnsi="宋体"/>
                <w:color w:val="auto"/>
                <w:szCs w:val="24"/>
                <w:highlight w:val="none"/>
              </w:rPr>
            </w:pPr>
            <w:r>
              <w:rPr>
                <w:rFonts w:hint="eastAsia" w:ascii="宋体" w:hAnsi="宋体"/>
                <w:color w:val="auto"/>
                <w:szCs w:val="24"/>
                <w:highlight w:val="none"/>
              </w:rPr>
              <w:t>【</w:t>
            </w:r>
            <w:r>
              <w:rPr>
                <w:rFonts w:hint="eastAsia" w:ascii="宋体" w:hAnsi="宋体"/>
                <w:color w:val="auto"/>
                <w:szCs w:val="24"/>
                <w:highlight w:val="none"/>
                <w:lang w:val="en-US" w:eastAsia="zh-CN"/>
              </w:rPr>
              <w:t>H份额</w:t>
            </w:r>
            <w:r>
              <w:rPr>
                <w:rFonts w:hint="eastAsia" w:ascii="宋体" w:hAnsi="宋体"/>
                <w:color w:val="auto"/>
                <w:szCs w:val="24"/>
                <w:highlight w:val="none"/>
              </w:rPr>
              <w:t>】认购起点为【</w:t>
            </w:r>
            <w:r>
              <w:rPr>
                <w:rFonts w:hint="eastAsia" w:ascii="宋体" w:hAnsi="宋体"/>
                <w:color w:val="auto"/>
                <w:szCs w:val="24"/>
                <w:highlight w:val="none"/>
                <w:lang w:val="en-US" w:eastAsia="zh-CN"/>
              </w:rPr>
              <w:t>1</w:t>
            </w:r>
            <w:r>
              <w:rPr>
                <w:rFonts w:hint="eastAsia" w:ascii="宋体" w:hAnsi="宋体"/>
                <w:color w:val="auto"/>
                <w:szCs w:val="24"/>
                <w:highlight w:val="none"/>
              </w:rPr>
              <w:t>】元，超过部分以【</w:t>
            </w:r>
            <w:r>
              <w:rPr>
                <w:rFonts w:hint="eastAsia" w:ascii="宋体" w:hAnsi="宋体"/>
                <w:color w:val="auto"/>
                <w:szCs w:val="24"/>
                <w:highlight w:val="none"/>
                <w:lang w:val="en-US" w:eastAsia="zh-CN"/>
              </w:rPr>
              <w:t>1</w:t>
            </w:r>
            <w:r>
              <w:rPr>
                <w:rFonts w:hint="eastAsia" w:ascii="宋体" w:hAnsi="宋体"/>
                <w:color w:val="auto"/>
                <w:szCs w:val="24"/>
                <w:highlight w:val="none"/>
              </w:rPr>
              <w:t>】元的整数倍增加。</w:t>
            </w:r>
          </w:p>
          <w:p w14:paraId="2B6F4ECA">
            <w:pPr>
              <w:snapToGrid w:val="0"/>
              <w:rPr>
                <w:rFonts w:ascii="宋体" w:hAnsi="宋体"/>
                <w:b/>
                <w:color w:val="auto"/>
                <w:szCs w:val="24"/>
                <w:highlight w:val="none"/>
              </w:rPr>
            </w:pPr>
            <w:r>
              <w:rPr>
                <w:rFonts w:hint="eastAsia" w:ascii="宋体" w:hAnsi="宋体"/>
                <w:b/>
                <w:color w:val="auto"/>
                <w:szCs w:val="24"/>
                <w:highlight w:val="none"/>
              </w:rPr>
              <w:t>销售机构的认购、申购起点金额可能</w:t>
            </w:r>
            <w:r>
              <w:rPr>
                <w:rFonts w:ascii="宋体" w:hAnsi="宋体"/>
                <w:b/>
                <w:color w:val="auto"/>
                <w:szCs w:val="24"/>
                <w:highlight w:val="none"/>
              </w:rPr>
              <w:t>与本</w:t>
            </w:r>
            <w:r>
              <w:rPr>
                <w:rFonts w:hint="eastAsia" w:ascii="宋体" w:hAnsi="宋体"/>
                <w:b/>
                <w:color w:val="auto"/>
                <w:szCs w:val="24"/>
                <w:highlight w:val="none"/>
              </w:rPr>
              <w:t>产品</w:t>
            </w:r>
            <w:r>
              <w:rPr>
                <w:rFonts w:ascii="宋体" w:hAnsi="宋体"/>
                <w:b/>
                <w:color w:val="auto"/>
                <w:szCs w:val="24"/>
                <w:highlight w:val="none"/>
              </w:rPr>
              <w:t>说明书</w:t>
            </w:r>
            <w:r>
              <w:rPr>
                <w:rFonts w:hint="eastAsia" w:ascii="宋体" w:hAnsi="宋体"/>
                <w:b/>
                <w:color w:val="auto"/>
                <w:szCs w:val="24"/>
                <w:highlight w:val="none"/>
              </w:rPr>
              <w:t>不一致</w:t>
            </w:r>
            <w:r>
              <w:rPr>
                <w:rFonts w:ascii="宋体" w:hAnsi="宋体"/>
                <w:b/>
                <w:color w:val="auto"/>
                <w:szCs w:val="24"/>
                <w:highlight w:val="none"/>
              </w:rPr>
              <w:t>，</w:t>
            </w:r>
            <w:r>
              <w:rPr>
                <w:rFonts w:hint="eastAsia" w:ascii="宋体" w:hAnsi="宋体"/>
                <w:b/>
                <w:color w:val="auto"/>
                <w:szCs w:val="24"/>
                <w:highlight w:val="none"/>
              </w:rPr>
              <w:t>通过销售机构认购、申购</w:t>
            </w:r>
            <w:r>
              <w:rPr>
                <w:rFonts w:ascii="宋体" w:hAnsi="宋体"/>
                <w:b/>
                <w:color w:val="auto"/>
                <w:szCs w:val="24"/>
                <w:highlight w:val="none"/>
              </w:rPr>
              <w:t>的</w:t>
            </w:r>
            <w:r>
              <w:rPr>
                <w:rFonts w:hint="eastAsia" w:ascii="宋体" w:hAnsi="宋体"/>
                <w:b/>
                <w:color w:val="auto"/>
                <w:szCs w:val="24"/>
                <w:highlight w:val="none"/>
              </w:rPr>
              <w:t>具体以销售机构展示为准。销售机构的实际销售起点金额，不得低于本产品说明书约定的销售起点金额。</w:t>
            </w:r>
          </w:p>
        </w:tc>
      </w:tr>
      <w:tr w14:paraId="06D64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D5A0EE1">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计划发行规模</w:t>
            </w:r>
          </w:p>
        </w:tc>
        <w:tc>
          <w:tcPr>
            <w:tcW w:w="7541" w:type="dxa"/>
            <w:gridSpan w:val="4"/>
            <w:vAlign w:val="center"/>
          </w:tcPr>
          <w:p w14:paraId="0713C778">
            <w:pPr>
              <w:widowControl/>
              <w:jc w:val="left"/>
              <w:rPr>
                <w:rFonts w:ascii="宋体" w:hAnsi="宋体"/>
                <w:b/>
                <w:color w:val="auto"/>
                <w:szCs w:val="24"/>
                <w:highlight w:val="none"/>
              </w:rPr>
            </w:pPr>
            <w:r>
              <w:rPr>
                <w:rFonts w:hint="eastAsia" w:ascii="宋体" w:hAnsi="宋体"/>
                <w:color w:val="auto"/>
                <w:szCs w:val="24"/>
                <w:highlight w:val="none"/>
              </w:rPr>
              <w:t>发行规模上限</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20</w:t>
            </w:r>
            <w:r>
              <w:rPr>
                <w:rFonts w:hint="eastAsia" w:ascii="宋体" w:hAnsi="宋体"/>
                <w:b/>
                <w:bCs/>
                <w:color w:val="auto"/>
                <w:szCs w:val="24"/>
                <w:highlight w:val="none"/>
              </w:rPr>
              <w:t>】亿</w:t>
            </w:r>
            <w:r>
              <w:rPr>
                <w:rFonts w:hint="eastAsia" w:ascii="宋体" w:hAnsi="宋体"/>
                <w:b/>
                <w:color w:val="auto"/>
                <w:szCs w:val="24"/>
                <w:highlight w:val="none"/>
              </w:rPr>
              <w:t>元。</w:t>
            </w:r>
          </w:p>
          <w:p w14:paraId="69999868">
            <w:pPr>
              <w:widowControl/>
              <w:jc w:val="left"/>
              <w:rPr>
                <w:rFonts w:ascii="宋体" w:hAnsi="宋体" w:cs="宋体"/>
                <w:b/>
                <w:color w:val="auto"/>
                <w:szCs w:val="24"/>
                <w:highlight w:val="none"/>
              </w:rPr>
            </w:pPr>
            <w:r>
              <w:rPr>
                <w:rFonts w:hint="eastAsia"/>
                <w:color w:val="auto"/>
                <w:szCs w:val="24"/>
                <w:highlight w:val="none"/>
              </w:rPr>
              <w:t>管理人有权根据实际需要调整发行规模上限。</w:t>
            </w:r>
          </w:p>
        </w:tc>
      </w:tr>
      <w:tr w14:paraId="311E7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CCBECA2">
            <w:pPr>
              <w:snapToGrid w:val="0"/>
              <w:ind w:left="77" w:leftChars="26" w:hanging="15"/>
              <w:jc w:val="center"/>
              <w:rPr>
                <w:rFonts w:ascii="宋体" w:hAnsi="宋体" w:cs="宋体"/>
                <w:color w:val="auto"/>
                <w:szCs w:val="24"/>
                <w:highlight w:val="none"/>
              </w:rPr>
            </w:pPr>
            <w:r>
              <w:rPr>
                <w:rFonts w:hint="eastAsia" w:ascii="宋体" w:hAnsi="宋体"/>
                <w:color w:val="auto"/>
                <w:szCs w:val="24"/>
                <w:highlight w:val="none"/>
              </w:rPr>
              <w:t>产品最低成立规模</w:t>
            </w:r>
          </w:p>
        </w:tc>
        <w:tc>
          <w:tcPr>
            <w:tcW w:w="7541" w:type="dxa"/>
            <w:gridSpan w:val="4"/>
            <w:vAlign w:val="center"/>
          </w:tcPr>
          <w:p w14:paraId="23E6C58A">
            <w:pPr>
              <w:widowControl/>
              <w:jc w:val="left"/>
              <w:rPr>
                <w:rFonts w:ascii="宋体" w:hAnsi="宋体"/>
                <w:b/>
                <w:bCs/>
                <w:color w:val="auto"/>
                <w:szCs w:val="24"/>
                <w:highlight w:val="none"/>
              </w:rPr>
            </w:pP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】亿元。</w:t>
            </w:r>
          </w:p>
          <w:p w14:paraId="342BCB1D">
            <w:pPr>
              <w:widowControl/>
              <w:jc w:val="left"/>
              <w:rPr>
                <w:rFonts w:ascii="宋体" w:hAnsi="宋体" w:cs="宋体"/>
                <w:color w:val="auto"/>
                <w:szCs w:val="24"/>
                <w:highlight w:val="none"/>
              </w:rPr>
            </w:pPr>
            <w:r>
              <w:rPr>
                <w:rFonts w:hint="eastAsia"/>
                <w:color w:val="auto"/>
                <w:szCs w:val="24"/>
                <w:highlight w:val="none"/>
              </w:rPr>
              <w:t>若认购金额不</w:t>
            </w:r>
            <w:r>
              <w:rPr>
                <w:rFonts w:hint="eastAsia"/>
                <w:bCs/>
                <w:color w:val="auto"/>
                <w:szCs w:val="24"/>
                <w:highlight w:val="none"/>
              </w:rPr>
              <w:t>足</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】亿元</w:t>
            </w:r>
            <w:r>
              <w:rPr>
                <w:rFonts w:hint="eastAsia"/>
                <w:b/>
                <w:bCs/>
                <w:color w:val="auto"/>
                <w:szCs w:val="24"/>
                <w:highlight w:val="none"/>
              </w:rPr>
              <w:t>，管理人有权宣布理财产品不成立，亦有权调整</w:t>
            </w:r>
            <w:r>
              <w:rPr>
                <w:rFonts w:hint="eastAsia" w:ascii="宋体" w:hAnsi="宋体"/>
                <w:b/>
                <w:bCs/>
                <w:color w:val="auto"/>
                <w:szCs w:val="24"/>
                <w:highlight w:val="none"/>
              </w:rPr>
              <w:t>产品最低成立规模，具体以管理人公告为准</w:t>
            </w:r>
            <w:r>
              <w:rPr>
                <w:rFonts w:hint="eastAsia"/>
                <w:color w:val="auto"/>
                <w:szCs w:val="24"/>
                <w:highlight w:val="none"/>
              </w:rPr>
              <w:t>。</w:t>
            </w:r>
          </w:p>
        </w:tc>
      </w:tr>
      <w:tr w14:paraId="7CD93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D73D117">
            <w:pPr>
              <w:snapToGrid w:val="0"/>
              <w:ind w:left="77" w:leftChars="26" w:hanging="15"/>
              <w:jc w:val="center"/>
              <w:rPr>
                <w:rFonts w:ascii="宋体" w:hAnsi="宋体"/>
                <w:color w:val="auto"/>
                <w:szCs w:val="24"/>
                <w:highlight w:val="none"/>
              </w:rPr>
            </w:pPr>
            <w:r>
              <w:rPr>
                <w:rFonts w:hint="eastAsia" w:ascii="宋体" w:hAnsi="宋体"/>
                <w:bCs/>
                <w:color w:val="auto"/>
                <w:szCs w:val="24"/>
                <w:highlight w:val="none"/>
              </w:rPr>
              <w:t>认/申购数量</w:t>
            </w:r>
            <w:r>
              <w:rPr>
                <w:rFonts w:ascii="宋体" w:hAnsi="宋体"/>
                <w:bCs/>
                <w:color w:val="auto"/>
                <w:szCs w:val="24"/>
                <w:highlight w:val="none"/>
              </w:rPr>
              <w:t>限制</w:t>
            </w:r>
          </w:p>
        </w:tc>
        <w:tc>
          <w:tcPr>
            <w:tcW w:w="7541" w:type="dxa"/>
            <w:gridSpan w:val="4"/>
            <w:vAlign w:val="center"/>
          </w:tcPr>
          <w:p w14:paraId="545DF3C8">
            <w:pPr>
              <w:widowControl/>
              <w:jc w:val="left"/>
              <w:rPr>
                <w:rFonts w:hint="eastAsia" w:ascii="宋体" w:hAnsi="宋体"/>
                <w:bCs/>
                <w:color w:val="auto"/>
                <w:szCs w:val="24"/>
                <w:highlight w:val="none"/>
              </w:rPr>
            </w:pPr>
            <w:r>
              <w:rPr>
                <w:rFonts w:hint="eastAsia" w:ascii="宋体" w:hAnsi="宋体"/>
                <w:bCs/>
                <w:color w:val="auto"/>
                <w:szCs w:val="24"/>
                <w:highlight w:val="none"/>
              </w:rPr>
              <w:t>【A份额】单一投资者认购上限为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4F47C8F3">
            <w:pPr>
              <w:widowControl/>
              <w:jc w:val="left"/>
              <w:rPr>
                <w:rFonts w:hint="eastAsia" w:ascii="宋体" w:hAnsi="宋体"/>
                <w:bCs/>
                <w:color w:val="auto"/>
                <w:szCs w:val="24"/>
                <w:highlight w:val="none"/>
              </w:rPr>
            </w:pPr>
            <w:r>
              <w:rPr>
                <w:rFonts w:hint="eastAsia" w:ascii="宋体" w:hAnsi="宋体"/>
                <w:bCs/>
                <w:color w:val="auto"/>
                <w:szCs w:val="24"/>
                <w:highlight w:val="none"/>
              </w:rPr>
              <w:t>【</w:t>
            </w:r>
            <w:r>
              <w:rPr>
                <w:rFonts w:hint="eastAsia" w:ascii="宋体" w:hAnsi="宋体"/>
                <w:bCs/>
                <w:color w:val="auto"/>
                <w:szCs w:val="24"/>
                <w:highlight w:val="none"/>
                <w:lang w:val="en-US" w:eastAsia="zh-CN"/>
              </w:rPr>
              <w:t>C</w:t>
            </w:r>
            <w:r>
              <w:rPr>
                <w:rFonts w:hint="eastAsia" w:ascii="宋体" w:hAnsi="宋体"/>
                <w:bCs/>
                <w:color w:val="auto"/>
                <w:szCs w:val="24"/>
                <w:highlight w:val="none"/>
              </w:rPr>
              <w:t>份额】单一投资者认购上限为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42830B10">
            <w:pPr>
              <w:widowControl/>
              <w:jc w:val="left"/>
              <w:rPr>
                <w:rFonts w:hint="eastAsia" w:ascii="宋体" w:hAnsi="宋体"/>
                <w:bCs/>
                <w:color w:val="auto"/>
                <w:szCs w:val="24"/>
                <w:highlight w:val="none"/>
              </w:rPr>
            </w:pPr>
            <w:r>
              <w:rPr>
                <w:rFonts w:hint="eastAsia" w:ascii="宋体" w:hAnsi="宋体"/>
                <w:bCs/>
                <w:color w:val="auto"/>
                <w:szCs w:val="24"/>
                <w:highlight w:val="none"/>
              </w:rPr>
              <w:t>【</w:t>
            </w:r>
            <w:r>
              <w:rPr>
                <w:rFonts w:hint="eastAsia" w:ascii="宋体" w:hAnsi="宋体"/>
                <w:bCs/>
                <w:color w:val="auto"/>
                <w:szCs w:val="24"/>
                <w:highlight w:val="none"/>
                <w:lang w:val="en-US" w:eastAsia="zh-CN"/>
              </w:rPr>
              <w:t>H份额</w:t>
            </w:r>
            <w:r>
              <w:rPr>
                <w:rFonts w:hint="eastAsia" w:ascii="宋体" w:hAnsi="宋体"/>
                <w:bCs/>
                <w:color w:val="auto"/>
                <w:szCs w:val="24"/>
                <w:highlight w:val="none"/>
              </w:rPr>
              <w:t>】单一投资者认购上限为</w:t>
            </w:r>
            <w:r>
              <w:rPr>
                <w:rFonts w:hint="eastAsia" w:ascii="宋体" w:hAnsi="宋体"/>
                <w:b/>
                <w:bCs/>
                <w:color w:val="auto"/>
                <w:szCs w:val="24"/>
                <w:highlight w:val="none"/>
              </w:rPr>
              <w:t>【</w:t>
            </w:r>
            <w:r>
              <w:rPr>
                <w:rFonts w:hint="eastAsia" w:ascii="宋体" w:hAnsi="宋体"/>
                <w:b/>
                <w:bCs/>
                <w:color w:val="auto"/>
                <w:szCs w:val="24"/>
                <w:highlight w:val="none"/>
                <w:lang w:val="en-US" w:eastAsia="zh-CN"/>
              </w:rPr>
              <w:t>/</w:t>
            </w:r>
            <w:r>
              <w:rPr>
                <w:rFonts w:hint="eastAsia" w:ascii="宋体" w:hAnsi="宋体"/>
                <w:b/>
                <w:bCs/>
                <w:color w:val="auto"/>
                <w:szCs w:val="24"/>
                <w:highlight w:val="none"/>
              </w:rPr>
              <w:t>】</w:t>
            </w:r>
            <w:r>
              <w:rPr>
                <w:rFonts w:hint="eastAsia" w:ascii="宋体" w:hAnsi="宋体"/>
                <w:bCs/>
                <w:color w:val="auto"/>
                <w:szCs w:val="24"/>
                <w:highlight w:val="none"/>
              </w:rPr>
              <w:t>万元。</w:t>
            </w:r>
          </w:p>
          <w:p w14:paraId="74B9CF06">
            <w:pPr>
              <w:widowControl/>
              <w:jc w:val="left"/>
              <w:rPr>
                <w:rFonts w:ascii="宋体" w:hAnsi="宋体"/>
                <w:bCs/>
                <w:color w:val="auto"/>
                <w:szCs w:val="24"/>
                <w:highlight w:val="none"/>
              </w:rPr>
            </w:pPr>
            <w:r>
              <w:rPr>
                <w:rFonts w:hint="eastAsia" w:ascii="宋体" w:hAnsi="宋体"/>
                <w:bCs/>
                <w:color w:val="auto"/>
                <w:szCs w:val="24"/>
                <w:highlight w:val="none"/>
              </w:rPr>
              <w:t>在产品运作过程中因收益分配、净值波动等被动超上限的情形除外。管理人有权以公告形式调整投资者累计认/申购上限。</w:t>
            </w:r>
          </w:p>
          <w:p w14:paraId="2C50D6CD">
            <w:pPr>
              <w:widowControl/>
              <w:jc w:val="left"/>
              <w:rPr>
                <w:rFonts w:ascii="宋体" w:hAnsi="宋体"/>
                <w:bCs/>
                <w:color w:val="auto"/>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50%以下之前，产品管理人不得再接受投资者对本产品的认购。如投资者认/申购超过上述限额，管理人有权根据实际情况接受、拒绝或确认失败。</w:t>
            </w:r>
          </w:p>
        </w:tc>
      </w:tr>
      <w:tr w14:paraId="0243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DDF6C84">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产品认购期/募集期</w:t>
            </w:r>
          </w:p>
        </w:tc>
        <w:tc>
          <w:tcPr>
            <w:tcW w:w="7541" w:type="dxa"/>
            <w:gridSpan w:val="4"/>
            <w:vAlign w:val="center"/>
          </w:tcPr>
          <w:p w14:paraId="39C6E210">
            <w:pPr>
              <w:autoSpaceDE w:val="0"/>
              <w:autoSpaceDN w:val="0"/>
              <w:adjustRightInd w:val="0"/>
              <w:snapToGrid w:val="0"/>
              <w:rPr>
                <w:rFonts w:ascii="宋体" w:hAnsi="宋体"/>
                <w:b/>
                <w:color w:val="auto"/>
                <w:szCs w:val="24"/>
                <w:highlight w:val="none"/>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5</w:t>
            </w:r>
            <w:r>
              <w:rPr>
                <w:rFonts w:hint="eastAsia" w:ascii="宋体" w:hAnsi="宋体"/>
                <w:b/>
                <w:color w:val="auto"/>
                <w:szCs w:val="24"/>
                <w:highlight w:val="none"/>
              </w:rPr>
              <w:t>】日【9:00】—</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11</w:t>
            </w:r>
            <w:r>
              <w:rPr>
                <w:rFonts w:hint="eastAsia" w:ascii="宋体" w:hAnsi="宋体"/>
                <w:b/>
                <w:color w:val="auto"/>
                <w:szCs w:val="24"/>
                <w:highlight w:val="none"/>
              </w:rPr>
              <w:t>】日【15:30】</w:t>
            </w:r>
          </w:p>
          <w:p w14:paraId="78E582F3">
            <w:pPr>
              <w:autoSpaceDE w:val="0"/>
              <w:autoSpaceDN w:val="0"/>
              <w:adjustRightInd w:val="0"/>
              <w:snapToGrid w:val="0"/>
              <w:rPr>
                <w:rFonts w:ascii="宋体" w:hAnsi="宋体"/>
                <w:b/>
                <w:color w:val="auto"/>
                <w:szCs w:val="24"/>
                <w:highlight w:val="none"/>
              </w:rPr>
            </w:pPr>
            <w:r>
              <w:rPr>
                <w:rFonts w:hint="eastAsia"/>
                <w:color w:val="auto"/>
                <w:szCs w:val="24"/>
                <w:highlight w:val="none"/>
              </w:rPr>
              <w:t>销售机构实际受理时间可能与说明书不一致，具体以销售机构通知为准。</w:t>
            </w:r>
            <w:r>
              <w:rPr>
                <w:rFonts w:hint="eastAsia" w:ascii="宋体" w:hAnsi="宋体"/>
                <w:b/>
                <w:color w:val="auto"/>
                <w:szCs w:val="24"/>
                <w:highlight w:val="none"/>
              </w:rPr>
              <w:t>管理人有权提前结束募集并提前成立理财产品或延长募集期，具体以管理人或销售机构公告为准。</w:t>
            </w:r>
          </w:p>
        </w:tc>
      </w:tr>
      <w:tr w14:paraId="7E24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57CD567">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投资冷静期</w:t>
            </w:r>
          </w:p>
        </w:tc>
        <w:tc>
          <w:tcPr>
            <w:tcW w:w="7541" w:type="dxa"/>
            <w:gridSpan w:val="4"/>
            <w:vAlign w:val="center"/>
          </w:tcPr>
          <w:p w14:paraId="79B79DA5">
            <w:pPr>
              <w:autoSpaceDE w:val="0"/>
              <w:autoSpaceDN w:val="0"/>
              <w:adjustRightInd w:val="0"/>
              <w:snapToGrid w:val="0"/>
              <w:rPr>
                <w:rFonts w:hint="eastAsia" w:ascii="宋体" w:hAnsi="宋体"/>
                <w:b w:val="0"/>
                <w:color w:val="auto"/>
                <w:szCs w:val="24"/>
                <w:highlight w:val="none"/>
              </w:rPr>
            </w:pPr>
            <w:r>
              <w:rPr>
                <w:rFonts w:hint="eastAsia" w:ascii="宋体" w:hAnsi="宋体"/>
                <w:color w:val="auto"/>
                <w:szCs w:val="24"/>
                <w:highlight w:val="none"/>
              </w:rPr>
              <w:t>公募</w:t>
            </w:r>
            <w:r>
              <w:rPr>
                <w:rFonts w:ascii="宋体" w:hAnsi="宋体"/>
                <w:color w:val="auto"/>
                <w:szCs w:val="24"/>
                <w:highlight w:val="none"/>
              </w:rPr>
              <w:t>：</w:t>
            </w:r>
            <w:r>
              <w:rPr>
                <w:rFonts w:hint="eastAsia" w:ascii="宋体" w:hAnsi="宋体"/>
                <w:color w:val="auto"/>
                <w:szCs w:val="24"/>
                <w:highlight w:val="none"/>
              </w:rPr>
              <w:t>本产品为公募理财产品，无投资冷静期设置。</w:t>
            </w:r>
          </w:p>
        </w:tc>
      </w:tr>
      <w:tr w14:paraId="2D566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FF8C151">
            <w:pPr>
              <w:autoSpaceDE w:val="0"/>
              <w:autoSpaceDN w:val="0"/>
              <w:adjustRightInd w:val="0"/>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产品期限</w:t>
            </w:r>
          </w:p>
        </w:tc>
        <w:tc>
          <w:tcPr>
            <w:tcW w:w="7541" w:type="dxa"/>
            <w:gridSpan w:val="4"/>
            <w:vAlign w:val="center"/>
          </w:tcPr>
          <w:p w14:paraId="547358F4">
            <w:pPr>
              <w:autoSpaceDE w:val="0"/>
              <w:autoSpaceDN w:val="0"/>
              <w:adjustRightInd w:val="0"/>
              <w:snapToGrid w:val="0"/>
              <w:rPr>
                <w:rFonts w:ascii="宋体" w:hAnsi="宋体"/>
                <w:b/>
                <w:color w:val="auto"/>
                <w:szCs w:val="24"/>
                <w:highlight w:val="none"/>
              </w:rPr>
            </w:pPr>
            <w:r>
              <w:rPr>
                <w:rFonts w:ascii="宋体" w:hAnsi="宋体"/>
                <w:b/>
                <w:color w:val="auto"/>
                <w:szCs w:val="24"/>
                <w:highlight w:val="none"/>
              </w:rPr>
              <w:t>【</w:t>
            </w:r>
            <w:r>
              <w:rPr>
                <w:rFonts w:hint="eastAsia" w:ascii="宋体" w:hAnsi="宋体"/>
                <w:b/>
                <w:color w:val="auto"/>
                <w:szCs w:val="24"/>
                <w:highlight w:val="none"/>
                <w:lang w:val="en-US" w:eastAsia="zh-CN"/>
              </w:rPr>
              <w:t>390</w:t>
            </w:r>
            <w:r>
              <w:rPr>
                <w:rFonts w:ascii="宋体" w:hAnsi="宋体"/>
                <w:b/>
                <w:color w:val="auto"/>
                <w:szCs w:val="24"/>
                <w:highlight w:val="none"/>
              </w:rPr>
              <w:t>】</w:t>
            </w:r>
            <w:r>
              <w:rPr>
                <w:rFonts w:hint="eastAsia" w:ascii="宋体" w:hAnsi="宋体"/>
                <w:b/>
                <w:color w:val="auto"/>
                <w:szCs w:val="24"/>
                <w:highlight w:val="none"/>
              </w:rPr>
              <w:t>天</w:t>
            </w:r>
            <w:r>
              <w:rPr>
                <w:rFonts w:hint="eastAsia" w:ascii="宋体" w:hAnsi="宋体"/>
                <w:color w:val="auto"/>
                <w:szCs w:val="24"/>
                <w:highlight w:val="none"/>
              </w:rPr>
              <w:t>。产品管理人有权根据实际情况提前终止，并提前【</w:t>
            </w:r>
            <w:r>
              <w:rPr>
                <w:rFonts w:hint="eastAsia" w:ascii="宋体" w:hAnsi="宋体"/>
                <w:color w:val="auto"/>
                <w:szCs w:val="24"/>
                <w:highlight w:val="none"/>
                <w:lang w:val="en-US" w:eastAsia="zh-CN"/>
              </w:rPr>
              <w:t>2</w:t>
            </w:r>
            <w:r>
              <w:rPr>
                <w:rFonts w:hint="eastAsia" w:ascii="宋体" w:hAnsi="宋体"/>
                <w:color w:val="auto"/>
                <w:szCs w:val="24"/>
                <w:highlight w:val="none"/>
              </w:rPr>
              <w:t>】个工作日按照本《产品说明书》“信息披露”约定的方式通知投资者。</w:t>
            </w:r>
          </w:p>
        </w:tc>
      </w:tr>
      <w:tr w14:paraId="6FF59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52BD4AF">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产品成立日</w:t>
            </w:r>
          </w:p>
        </w:tc>
        <w:tc>
          <w:tcPr>
            <w:tcW w:w="7541" w:type="dxa"/>
            <w:gridSpan w:val="4"/>
            <w:vAlign w:val="center"/>
          </w:tcPr>
          <w:p w14:paraId="4D925FC8">
            <w:pPr>
              <w:snapToGrid w:val="0"/>
              <w:rPr>
                <w:rFonts w:ascii="宋体" w:hAnsi="宋体"/>
                <w:b/>
                <w:color w:val="auto"/>
                <w:szCs w:val="24"/>
                <w:highlight w:val="none"/>
              </w:rPr>
            </w:pPr>
            <w:r>
              <w:rPr>
                <w:rFonts w:hint="eastAsia" w:ascii="宋体" w:hAnsi="宋体"/>
                <w:b/>
                <w:color w:val="auto"/>
                <w:szCs w:val="24"/>
                <w:highlight w:val="none"/>
              </w:rPr>
              <w:t>本产品</w:t>
            </w:r>
            <w:r>
              <w:rPr>
                <w:rFonts w:ascii="宋体" w:hAnsi="宋体"/>
                <w:b/>
                <w:color w:val="auto"/>
                <w:szCs w:val="24"/>
                <w:highlight w:val="none"/>
              </w:rPr>
              <w:t>计划成立日</w:t>
            </w:r>
            <w:r>
              <w:rPr>
                <w:rFonts w:hint="eastAsia" w:ascii="宋体" w:hAnsi="宋体"/>
                <w:b/>
                <w:color w:val="auto"/>
                <w:szCs w:val="24"/>
                <w:highlight w:val="none"/>
              </w:rPr>
              <w:t>为</w:t>
            </w: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6</w:t>
            </w:r>
            <w:r>
              <w:rPr>
                <w:rFonts w:hint="eastAsia" w:ascii="宋体" w:hAnsi="宋体"/>
                <w:b/>
                <w:color w:val="auto"/>
                <w:szCs w:val="24"/>
                <w:highlight w:val="none"/>
              </w:rPr>
              <w:t>】年【</w:t>
            </w:r>
            <w:r>
              <w:rPr>
                <w:rFonts w:hint="eastAsia" w:ascii="宋体" w:hAnsi="宋体"/>
                <w:b/>
                <w:color w:val="auto"/>
                <w:szCs w:val="24"/>
                <w:highlight w:val="none"/>
                <w:lang w:val="en-US" w:eastAsia="zh-CN"/>
              </w:rPr>
              <w:t>6</w:t>
            </w:r>
            <w:r>
              <w:rPr>
                <w:rFonts w:hint="eastAsia" w:ascii="宋体" w:hAnsi="宋体"/>
                <w:b/>
                <w:color w:val="auto"/>
                <w:szCs w:val="24"/>
                <w:highlight w:val="none"/>
              </w:rPr>
              <w:t>】月【</w:t>
            </w:r>
            <w:r>
              <w:rPr>
                <w:rFonts w:hint="eastAsia" w:ascii="宋体" w:hAnsi="宋体"/>
                <w:b/>
                <w:color w:val="auto"/>
                <w:szCs w:val="24"/>
                <w:highlight w:val="none"/>
                <w:lang w:val="en-US" w:eastAsia="zh-CN"/>
              </w:rPr>
              <w:t>12</w:t>
            </w:r>
            <w:r>
              <w:rPr>
                <w:rFonts w:hint="eastAsia" w:ascii="宋体" w:hAnsi="宋体"/>
                <w:b/>
                <w:color w:val="auto"/>
                <w:szCs w:val="24"/>
                <w:highlight w:val="none"/>
              </w:rPr>
              <w:t>】日，如遇非工作日则顺延至下一工作日。</w:t>
            </w:r>
          </w:p>
          <w:p w14:paraId="45E0D732">
            <w:pPr>
              <w:snapToGrid w:val="0"/>
              <w:rPr>
                <w:rFonts w:ascii="宋体" w:hAnsi="宋体"/>
                <w:color w:val="auto"/>
                <w:szCs w:val="24"/>
                <w:highlight w:val="none"/>
              </w:rPr>
            </w:pPr>
            <w:r>
              <w:rPr>
                <w:rFonts w:hint="eastAsia" w:ascii="宋体" w:hAnsi="宋体"/>
                <w:b/>
                <w:color w:val="auto"/>
                <w:szCs w:val="24"/>
                <w:highlight w:val="none"/>
              </w:rPr>
              <w:t>如本理财产品募集期提前终止或延长，实际成立日以管理人或销售机构公告为准。</w:t>
            </w:r>
          </w:p>
        </w:tc>
      </w:tr>
      <w:tr w14:paraId="129B5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B6A53F2">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认购、</w:t>
            </w:r>
          </w:p>
          <w:p w14:paraId="33EE6952">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申购、赎回安排</w:t>
            </w:r>
          </w:p>
        </w:tc>
        <w:tc>
          <w:tcPr>
            <w:tcW w:w="7541" w:type="dxa"/>
            <w:gridSpan w:val="4"/>
            <w:vAlign w:val="center"/>
          </w:tcPr>
          <w:p w14:paraId="35298004">
            <w:pPr>
              <w:snapToGrid w:val="0"/>
              <w:jc w:val="left"/>
              <w:rPr>
                <w:rFonts w:ascii="宋体" w:hAnsi="宋体"/>
                <w:color w:val="auto"/>
                <w:szCs w:val="24"/>
                <w:highlight w:val="none"/>
              </w:rPr>
            </w:pPr>
            <w:r>
              <w:rPr>
                <w:rFonts w:hint="eastAsia" w:ascii="宋体" w:hAnsi="宋体"/>
                <w:color w:val="auto"/>
                <w:szCs w:val="24"/>
                <w:highlight w:val="none"/>
              </w:rPr>
              <w:t>1.本理财产品按金额认购。</w:t>
            </w:r>
          </w:p>
          <w:p w14:paraId="5C8AD6B3">
            <w:pPr>
              <w:snapToGrid w:val="0"/>
              <w:jc w:val="left"/>
              <w:rPr>
                <w:rFonts w:ascii="宋体" w:hAnsi="宋体"/>
                <w:color w:val="auto"/>
                <w:szCs w:val="24"/>
                <w:highlight w:val="none"/>
              </w:rPr>
            </w:pPr>
            <w:r>
              <w:rPr>
                <w:rFonts w:hint="eastAsia" w:ascii="宋体" w:hAnsi="宋体"/>
                <w:color w:val="auto"/>
                <w:szCs w:val="24"/>
                <w:highlight w:val="none"/>
              </w:rPr>
              <w:t>2.认购份额=认购金额÷产品份额净值，按四舍五入原则，保留2位小数。</w:t>
            </w:r>
          </w:p>
          <w:p w14:paraId="51300AF4">
            <w:pPr>
              <w:snapToGrid w:val="0"/>
              <w:rPr>
                <w:rFonts w:ascii="宋体" w:hAnsi="宋体"/>
                <w:b/>
                <w:color w:val="auto"/>
                <w:szCs w:val="24"/>
                <w:highlight w:val="none"/>
              </w:rPr>
            </w:pPr>
            <w:r>
              <w:rPr>
                <w:rFonts w:hint="eastAsia" w:ascii="宋体" w:hAnsi="宋体"/>
                <w:color w:val="auto"/>
                <w:szCs w:val="24"/>
                <w:highlight w:val="none"/>
              </w:rPr>
              <w:t>3</w:t>
            </w:r>
            <w:r>
              <w:rPr>
                <w:rFonts w:ascii="宋体" w:hAnsi="宋体"/>
                <w:color w:val="auto"/>
                <w:szCs w:val="24"/>
                <w:highlight w:val="none"/>
              </w:rPr>
              <w:t>.</w:t>
            </w:r>
            <w:r>
              <w:rPr>
                <w:rFonts w:hint="eastAsia" w:ascii="宋体" w:hAnsi="宋体"/>
                <w:color w:val="auto"/>
                <w:szCs w:val="24"/>
                <w:highlight w:val="none"/>
              </w:rPr>
              <w:t>本产品存续期内不开放投资者申购或赎回。</w:t>
            </w:r>
          </w:p>
        </w:tc>
      </w:tr>
      <w:tr w14:paraId="2B42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6A25379">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产品到期日</w:t>
            </w:r>
          </w:p>
        </w:tc>
        <w:tc>
          <w:tcPr>
            <w:tcW w:w="7541" w:type="dxa"/>
            <w:gridSpan w:val="4"/>
            <w:vAlign w:val="center"/>
          </w:tcPr>
          <w:p w14:paraId="576A39BB">
            <w:pPr>
              <w:snapToGrid w:val="0"/>
              <w:rPr>
                <w:rFonts w:ascii="宋体" w:hAnsi="宋体"/>
                <w:b/>
                <w:color w:val="auto"/>
                <w:szCs w:val="24"/>
                <w:highlight w:val="none"/>
              </w:rPr>
            </w:pPr>
            <w:r>
              <w:rPr>
                <w:rFonts w:hint="eastAsia" w:ascii="宋体" w:hAnsi="宋体"/>
                <w:color w:val="auto"/>
                <w:szCs w:val="24"/>
                <w:highlight w:val="none"/>
              </w:rPr>
              <w:t>【</w:t>
            </w:r>
            <w:r>
              <w:rPr>
                <w:rFonts w:ascii="宋体" w:hAnsi="宋体"/>
                <w:b/>
                <w:color w:val="auto"/>
                <w:szCs w:val="24"/>
                <w:highlight w:val="none"/>
              </w:rPr>
              <w:t>202</w:t>
            </w:r>
            <w:r>
              <w:rPr>
                <w:rFonts w:hint="eastAsia" w:ascii="宋体" w:hAnsi="宋体"/>
                <w:b/>
                <w:color w:val="auto"/>
                <w:szCs w:val="24"/>
                <w:highlight w:val="none"/>
                <w:lang w:val="en-US" w:eastAsia="zh-CN"/>
              </w:rPr>
              <w:t>7</w:t>
            </w:r>
            <w:r>
              <w:rPr>
                <w:rFonts w:hint="eastAsia" w:ascii="宋体" w:hAnsi="宋体"/>
                <w:b/>
                <w:color w:val="auto"/>
                <w:szCs w:val="24"/>
                <w:highlight w:val="none"/>
              </w:rPr>
              <w:t>】年【</w:t>
            </w:r>
            <w:r>
              <w:rPr>
                <w:rFonts w:hint="eastAsia" w:ascii="宋体" w:hAnsi="宋体"/>
                <w:b/>
                <w:color w:val="auto"/>
                <w:szCs w:val="24"/>
                <w:highlight w:val="none"/>
                <w:lang w:val="en-US" w:eastAsia="zh-CN"/>
              </w:rPr>
              <w:t>7</w:t>
            </w:r>
            <w:r>
              <w:rPr>
                <w:rFonts w:hint="eastAsia" w:ascii="宋体" w:hAnsi="宋体"/>
                <w:b/>
                <w:color w:val="auto"/>
                <w:szCs w:val="24"/>
                <w:highlight w:val="none"/>
              </w:rPr>
              <w:t>】月【</w:t>
            </w:r>
            <w:r>
              <w:rPr>
                <w:rFonts w:hint="eastAsia" w:ascii="宋体" w:hAnsi="宋体"/>
                <w:b/>
                <w:color w:val="auto"/>
                <w:szCs w:val="24"/>
                <w:highlight w:val="none"/>
                <w:lang w:val="en-US" w:eastAsia="zh-CN"/>
              </w:rPr>
              <w:t>7</w:t>
            </w:r>
            <w:r>
              <w:rPr>
                <w:rFonts w:hint="eastAsia" w:ascii="宋体" w:hAnsi="宋体"/>
                <w:b/>
                <w:color w:val="auto"/>
                <w:szCs w:val="24"/>
                <w:highlight w:val="none"/>
              </w:rPr>
              <w:t>】日</w:t>
            </w:r>
            <w:r>
              <w:rPr>
                <w:rFonts w:hint="eastAsia" w:ascii="宋体" w:hAnsi="宋体"/>
                <w:color w:val="auto"/>
                <w:szCs w:val="24"/>
                <w:highlight w:val="none"/>
              </w:rPr>
              <w:t>，如遇非</w:t>
            </w:r>
            <w:r>
              <w:rPr>
                <w:rFonts w:hint="eastAsia" w:ascii="宋体" w:hAnsi="宋体"/>
                <w:b/>
                <w:color w:val="auto"/>
                <w:szCs w:val="24"/>
                <w:highlight w:val="none"/>
              </w:rPr>
              <w:t>工作日</w:t>
            </w:r>
            <w:r>
              <w:rPr>
                <w:rFonts w:hint="eastAsia" w:ascii="宋体" w:hAnsi="宋体"/>
                <w:color w:val="auto"/>
                <w:szCs w:val="24"/>
                <w:highlight w:val="none"/>
              </w:rPr>
              <w:t>则顺延至下一</w:t>
            </w:r>
            <w:r>
              <w:rPr>
                <w:rFonts w:hint="eastAsia" w:ascii="宋体" w:hAnsi="宋体"/>
                <w:b/>
                <w:color w:val="auto"/>
                <w:szCs w:val="24"/>
                <w:highlight w:val="none"/>
              </w:rPr>
              <w:t>工作日</w:t>
            </w:r>
            <w:r>
              <w:rPr>
                <w:rFonts w:hint="eastAsia" w:ascii="宋体" w:hAnsi="宋体"/>
                <w:color w:val="auto"/>
                <w:szCs w:val="24"/>
                <w:highlight w:val="none"/>
              </w:rPr>
              <w:t>。管理人有权根据实际情况提前终止本产品或延长本产品存续期，并及时公告。如产品提前终止或延期终止，除有特别约定外，实际终止日为到期日。</w:t>
            </w:r>
          </w:p>
        </w:tc>
      </w:tr>
      <w:tr w14:paraId="21C55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AB4402C">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产品兑付日</w:t>
            </w:r>
          </w:p>
        </w:tc>
        <w:tc>
          <w:tcPr>
            <w:tcW w:w="7541" w:type="dxa"/>
            <w:gridSpan w:val="4"/>
            <w:vAlign w:val="center"/>
          </w:tcPr>
          <w:p w14:paraId="321179BA">
            <w:pPr>
              <w:snapToGrid w:val="0"/>
              <w:rPr>
                <w:rFonts w:ascii="宋体" w:hAnsi="宋体"/>
                <w:b/>
                <w:color w:val="auto"/>
                <w:szCs w:val="24"/>
                <w:highlight w:val="none"/>
              </w:rPr>
            </w:pPr>
            <w:r>
              <w:rPr>
                <w:rFonts w:hint="eastAsia" w:ascii="宋体" w:hAnsi="宋体"/>
                <w:b/>
                <w:color w:val="auto"/>
                <w:szCs w:val="24"/>
                <w:highlight w:val="none"/>
              </w:rPr>
              <w:t>指本产品到期后投资者理财兑付资金的到账日。理财兑付资金于产品到期后5个</w:t>
            </w:r>
            <w:r>
              <w:rPr>
                <w:rFonts w:hint="eastAsia" w:ascii="宋体" w:hAnsi="宋体"/>
                <w:b/>
                <w:color w:val="auto"/>
                <w:szCs w:val="24"/>
                <w:highlight w:val="none"/>
                <w:lang w:eastAsia="zh-CN"/>
              </w:rPr>
              <w:t>工作日</w:t>
            </w:r>
            <w:r>
              <w:rPr>
                <w:rFonts w:hint="eastAsia" w:ascii="宋体" w:hAnsi="宋体"/>
                <w:b/>
                <w:color w:val="auto"/>
                <w:szCs w:val="24"/>
                <w:highlight w:val="none"/>
              </w:rPr>
              <w:t>内划至投资者指定账户。产品到期日至兑付日期间，投资者理财资金如因清算安排实际产生利息的，相关利息归投资者所有。</w:t>
            </w:r>
          </w:p>
        </w:tc>
      </w:tr>
      <w:tr w14:paraId="5480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78A0CF5A">
            <w:pPr>
              <w:snapToGrid w:val="0"/>
              <w:ind w:left="77" w:leftChars="26" w:hanging="15"/>
              <w:jc w:val="center"/>
              <w:rPr>
                <w:rFonts w:ascii="宋体" w:hAnsi="宋体"/>
                <w:color w:val="auto"/>
                <w:szCs w:val="24"/>
                <w:highlight w:val="none"/>
              </w:rPr>
            </w:pPr>
            <w:r>
              <w:rPr>
                <w:rFonts w:hint="eastAsia" w:ascii="宋体" w:hAnsi="宋体"/>
                <w:color w:val="auto"/>
                <w:kern w:val="0"/>
                <w:szCs w:val="24"/>
                <w:highlight w:val="none"/>
              </w:rPr>
              <w:t>撤销规则</w:t>
            </w:r>
          </w:p>
        </w:tc>
        <w:tc>
          <w:tcPr>
            <w:tcW w:w="7541" w:type="dxa"/>
            <w:gridSpan w:val="4"/>
            <w:vAlign w:val="center"/>
          </w:tcPr>
          <w:p w14:paraId="4CAEAFDF">
            <w:pPr>
              <w:snapToGrid w:val="0"/>
              <w:jc w:val="left"/>
              <w:rPr>
                <w:rFonts w:ascii="宋体" w:hAnsi="宋体"/>
                <w:color w:val="auto"/>
                <w:szCs w:val="24"/>
                <w:highlight w:val="none"/>
              </w:rPr>
            </w:pPr>
            <w:r>
              <w:rPr>
                <w:rFonts w:hint="eastAsia" w:ascii="宋体" w:hAnsi="宋体"/>
                <w:color w:val="auto"/>
                <w:szCs w:val="24"/>
                <w:highlight w:val="none"/>
              </w:rPr>
              <w:t>投资者可在本理财产品募集期结束前撤销已成功提交的产品认购申请</w:t>
            </w:r>
            <w:r>
              <w:rPr>
                <w:rFonts w:hint="eastAsia" w:ascii="宋体" w:hAnsi="宋体"/>
                <w:color w:val="auto"/>
                <w:kern w:val="0"/>
                <w:szCs w:val="24"/>
                <w:highlight w:val="none"/>
              </w:rPr>
              <w:t>。销售机构实际受理撤销申请时间可能与说明书不一致，具体以销售机构通知为准。</w:t>
            </w:r>
          </w:p>
        </w:tc>
      </w:tr>
      <w:tr w14:paraId="2171F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1234CA96">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业绩比较基准</w:t>
            </w:r>
          </w:p>
        </w:tc>
        <w:tc>
          <w:tcPr>
            <w:tcW w:w="7541" w:type="dxa"/>
            <w:gridSpan w:val="4"/>
            <w:vAlign w:val="center"/>
          </w:tcPr>
          <w:p w14:paraId="22CDF7A8">
            <w:pPr>
              <w:widowControl/>
              <w:jc w:val="left"/>
              <w:rPr>
                <w:rFonts w:ascii="宋体" w:hAnsi="宋体"/>
                <w:b/>
                <w:color w:val="auto"/>
                <w:szCs w:val="24"/>
                <w:highlight w:val="none"/>
              </w:rPr>
            </w:pPr>
            <w:r>
              <w:rPr>
                <w:rFonts w:hint="eastAsia" w:ascii="宋体" w:hAnsi="宋体"/>
                <w:b/>
                <w:color w:val="auto"/>
                <w:szCs w:val="24"/>
                <w:highlight w:val="none"/>
              </w:rPr>
              <w:t>1.业绩比较基准的设置</w:t>
            </w:r>
          </w:p>
          <w:p w14:paraId="00AD1CCD">
            <w:pPr>
              <w:widowControl/>
              <w:jc w:val="left"/>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宋体" w:hAnsi="宋体"/>
                <w:b/>
                <w:color w:val="auto"/>
                <w:szCs w:val="24"/>
                <w:highlight w:val="none"/>
              </w:rPr>
              <w:t xml:space="preserve">  产品管理人设置业绩比较基准。</w:t>
            </w:r>
          </w:p>
          <w:p w14:paraId="1E014CBF">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2.50%-2.80%</w:t>
            </w:r>
            <w:r>
              <w:rPr>
                <w:rFonts w:hint="eastAsia" w:ascii="宋体" w:hAnsi="宋体"/>
                <w:b/>
                <w:color w:val="auto"/>
                <w:szCs w:val="24"/>
                <w:highlight w:val="none"/>
              </w:rPr>
              <w:t>】（适用【A】类份额）</w:t>
            </w:r>
          </w:p>
          <w:p w14:paraId="336BCC5D">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2.40%-2.70%</w:t>
            </w:r>
            <w:r>
              <w:rPr>
                <w:rFonts w:hint="eastAsia" w:ascii="宋体" w:hAnsi="宋体"/>
                <w:b/>
                <w:color w:val="auto"/>
                <w:szCs w:val="24"/>
                <w:highlight w:val="none"/>
              </w:rPr>
              <w:t>】（适用【</w:t>
            </w:r>
            <w:r>
              <w:rPr>
                <w:rFonts w:hint="eastAsia" w:ascii="宋体" w:hAnsi="宋体"/>
                <w:b/>
                <w:color w:val="auto"/>
                <w:szCs w:val="24"/>
                <w:highlight w:val="none"/>
                <w:lang w:val="en-US" w:eastAsia="zh-CN"/>
              </w:rPr>
              <w:t>C</w:t>
            </w:r>
            <w:r>
              <w:rPr>
                <w:rFonts w:hint="eastAsia" w:ascii="宋体" w:hAnsi="宋体"/>
                <w:b/>
                <w:color w:val="auto"/>
                <w:szCs w:val="24"/>
                <w:highlight w:val="none"/>
              </w:rPr>
              <w:t>】类份额）</w:t>
            </w:r>
          </w:p>
          <w:p w14:paraId="1F37668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2.55%-2.85%</w:t>
            </w:r>
            <w:r>
              <w:rPr>
                <w:rFonts w:hint="eastAsia" w:ascii="宋体" w:hAnsi="宋体"/>
                <w:b/>
                <w:color w:val="auto"/>
                <w:szCs w:val="24"/>
                <w:highlight w:val="none"/>
              </w:rPr>
              <w:t>】（适用</w:t>
            </w:r>
            <w:r>
              <w:rPr>
                <w:rFonts w:hint="eastAsia" w:ascii="宋体" w:hAnsi="宋体"/>
                <w:b/>
                <w:color w:val="auto"/>
                <w:szCs w:val="24"/>
                <w:highlight w:val="none"/>
                <w:lang w:eastAsia="zh-CN"/>
              </w:rPr>
              <w:t>【H】类</w:t>
            </w:r>
            <w:r>
              <w:rPr>
                <w:rFonts w:hint="eastAsia" w:ascii="宋体" w:hAnsi="宋体"/>
                <w:b/>
                <w:color w:val="auto"/>
                <w:szCs w:val="24"/>
                <w:highlight w:val="none"/>
              </w:rPr>
              <w:t>份额）</w:t>
            </w:r>
          </w:p>
          <w:p w14:paraId="63FE8997">
            <w:pPr>
              <w:widowControl/>
              <w:jc w:val="left"/>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本产品</w:t>
            </w:r>
            <w:r>
              <w:rPr>
                <w:rFonts w:ascii="宋体" w:hAnsi="宋体"/>
                <w:b/>
                <w:color w:val="auto"/>
                <w:szCs w:val="24"/>
                <w:highlight w:val="none"/>
              </w:rPr>
              <w:t>不</w:t>
            </w:r>
            <w:r>
              <w:rPr>
                <w:rFonts w:hint="eastAsia" w:ascii="宋体" w:hAnsi="宋体"/>
                <w:b/>
                <w:color w:val="auto"/>
                <w:szCs w:val="24"/>
                <w:highlight w:val="none"/>
              </w:rPr>
              <w:t>设置</w:t>
            </w:r>
            <w:r>
              <w:rPr>
                <w:rFonts w:ascii="宋体" w:hAnsi="宋体"/>
                <w:b/>
                <w:color w:val="auto"/>
                <w:szCs w:val="24"/>
                <w:highlight w:val="none"/>
              </w:rPr>
              <w:t>业绩比较基准</w:t>
            </w:r>
            <w:r>
              <w:rPr>
                <w:rFonts w:hint="eastAsia" w:ascii="宋体" w:hAnsi="宋体"/>
                <w:b/>
                <w:color w:val="auto"/>
                <w:szCs w:val="24"/>
                <w:highlight w:val="none"/>
              </w:rPr>
              <w:t>。</w:t>
            </w:r>
          </w:p>
          <w:p w14:paraId="7BA96D55">
            <w:pPr>
              <w:widowControl/>
              <w:jc w:val="left"/>
              <w:rPr>
                <w:rFonts w:ascii="宋体" w:hAnsi="宋体"/>
                <w:b/>
                <w:color w:val="auto"/>
                <w:szCs w:val="24"/>
                <w:highlight w:val="none"/>
              </w:rPr>
            </w:pPr>
            <w:r>
              <w:rPr>
                <w:rFonts w:hint="eastAsia" w:ascii="宋体" w:hAnsi="宋体"/>
                <w:b/>
                <w:color w:val="auto"/>
                <w:szCs w:val="24"/>
                <w:highlight w:val="none"/>
              </w:rPr>
              <w:t>2</w:t>
            </w:r>
            <w:r>
              <w:rPr>
                <w:rFonts w:ascii="宋体" w:hAnsi="宋体"/>
                <w:b/>
                <w:color w:val="auto"/>
                <w:szCs w:val="24"/>
                <w:highlight w:val="none"/>
              </w:rPr>
              <w:t>.</w:t>
            </w:r>
            <w:r>
              <w:rPr>
                <w:rFonts w:hint="eastAsia" w:ascii="宋体" w:hAnsi="宋体"/>
                <w:b/>
                <w:color w:val="auto"/>
                <w:szCs w:val="24"/>
                <w:highlight w:val="none"/>
              </w:rPr>
              <w:t>业绩</w:t>
            </w:r>
            <w:r>
              <w:rPr>
                <w:rFonts w:ascii="宋体" w:hAnsi="宋体"/>
                <w:b/>
                <w:color w:val="auto"/>
                <w:szCs w:val="24"/>
                <w:highlight w:val="none"/>
              </w:rPr>
              <w:t>比较基准</w:t>
            </w:r>
            <w:r>
              <w:rPr>
                <w:rFonts w:hint="eastAsia" w:ascii="宋体" w:hAnsi="宋体"/>
                <w:b/>
                <w:color w:val="auto"/>
                <w:szCs w:val="24"/>
                <w:highlight w:val="none"/>
              </w:rPr>
              <w:t>提示：</w:t>
            </w:r>
          </w:p>
          <w:p w14:paraId="4503EBBB">
            <w:pPr>
              <w:widowControl/>
              <w:jc w:val="left"/>
              <w:rPr>
                <w:rFonts w:ascii="宋体" w:hAnsi="宋体"/>
                <w:b/>
                <w:color w:val="auto"/>
                <w:szCs w:val="24"/>
                <w:highlight w:val="none"/>
              </w:rPr>
            </w:pPr>
            <w:r>
              <w:rPr>
                <w:rFonts w:hint="eastAsia" w:ascii="宋体" w:hAnsi="宋体"/>
                <w:b/>
                <w:color w:val="auto"/>
                <w:szCs w:val="24"/>
                <w:highlight w:val="none"/>
              </w:rPr>
              <w:t>本理财产品为净值型产品，业绩表现将随市场波动，具有不确定性。业绩比较基准是管理人基于投资范围内各类资产的收益率水平、投资比例、市场情况等因素进行静态测算和情景分析所得出和设定的投资目标。</w:t>
            </w:r>
          </w:p>
          <w:p w14:paraId="641BEA07">
            <w:pPr>
              <w:snapToGrid w:val="0"/>
              <w:rPr>
                <w:rFonts w:ascii="宋体" w:hAnsi="宋体"/>
                <w:b/>
                <w:bCs/>
                <w:color w:val="auto"/>
                <w:szCs w:val="24"/>
                <w:highlight w:val="none"/>
              </w:rPr>
            </w:pPr>
            <w:r>
              <w:rPr>
                <w:rFonts w:hint="eastAsia" w:ascii="宋体" w:hAnsi="宋体"/>
                <w:b/>
                <w:color w:val="auto"/>
                <w:szCs w:val="24"/>
                <w:highlight w:val="none"/>
              </w:rPr>
              <w:t>本理财产品投向</w:t>
            </w:r>
            <w:r>
              <w:rPr>
                <w:rFonts w:hint="eastAsia" w:ascii="宋体" w:hAnsi="宋体"/>
                <w:b/>
                <w:color w:val="auto"/>
                <w:szCs w:val="24"/>
                <w:highlight w:val="none"/>
                <w:lang w:val="en-US" w:eastAsia="zh-CN"/>
              </w:rPr>
              <w:t>债权类资产投资比例不低于80%，</w:t>
            </w:r>
            <w:r>
              <w:rPr>
                <w:rFonts w:hint="eastAsia" w:ascii="宋体" w:hAnsi="宋体"/>
                <w:b/>
                <w:color w:val="auto"/>
                <w:szCs w:val="24"/>
                <w:highlight w:val="none"/>
              </w:rPr>
              <w:t>投向</w:t>
            </w:r>
            <w:r>
              <w:rPr>
                <w:rFonts w:hint="eastAsia" w:ascii="宋体" w:hAnsi="宋体"/>
                <w:b/>
                <w:color w:val="auto"/>
                <w:szCs w:val="24"/>
                <w:highlight w:val="none"/>
                <w:lang w:val="en-US" w:eastAsia="zh-CN"/>
              </w:rPr>
              <w:t>权益类资产、商品及</w:t>
            </w:r>
            <w:r>
              <w:rPr>
                <w:rFonts w:hint="eastAsia" w:ascii="宋体" w:hAnsi="宋体"/>
                <w:b/>
                <w:color w:val="auto"/>
                <w:szCs w:val="24"/>
                <w:highlight w:val="none"/>
              </w:rPr>
              <w:t>金融衍生品类资产</w:t>
            </w:r>
            <w:r>
              <w:rPr>
                <w:rFonts w:hint="eastAsia" w:ascii="宋体" w:hAnsi="宋体"/>
                <w:b/>
                <w:color w:val="auto"/>
                <w:szCs w:val="24"/>
                <w:highlight w:val="none"/>
                <w:lang w:val="en-US" w:eastAsia="zh-CN"/>
              </w:rPr>
              <w:t>不高于20%。</w:t>
            </w:r>
            <w:r>
              <w:rPr>
                <w:rFonts w:hint="eastAsia" w:ascii="宋体" w:hAnsi="宋体"/>
                <w:color w:val="auto"/>
                <w:szCs w:val="24"/>
                <w:highlight w:val="none"/>
              </w:rPr>
              <w:t>（</w:t>
            </w:r>
            <w:r>
              <w:rPr>
                <w:rFonts w:hint="eastAsia" w:ascii="仿宋_GB2312" w:hAnsi="宋体" w:cs="宋体"/>
                <w:bCs/>
                <w:color w:val="auto"/>
                <w:kern w:val="0"/>
                <w:szCs w:val="24"/>
                <w:highlight w:val="none"/>
              </w:rPr>
              <w:t>本理财</w:t>
            </w:r>
            <w:r>
              <w:rPr>
                <w:rFonts w:ascii="仿宋_GB2312" w:hAnsi="宋体" w:cs="宋体"/>
                <w:bCs/>
                <w:color w:val="auto"/>
                <w:kern w:val="0"/>
                <w:szCs w:val="24"/>
                <w:highlight w:val="none"/>
              </w:rPr>
              <w:t>产品在投资</w:t>
            </w:r>
            <w:r>
              <w:rPr>
                <w:rFonts w:hint="eastAsia" w:ascii="仿宋_GB2312" w:hAnsi="宋体" w:cs="宋体"/>
                <w:bCs/>
                <w:color w:val="auto"/>
                <w:kern w:val="0"/>
                <w:szCs w:val="24"/>
                <w:highlight w:val="none"/>
              </w:rPr>
              <w:t>于</w:t>
            </w:r>
            <w:r>
              <w:rPr>
                <w:rFonts w:ascii="仿宋_GB2312" w:hAnsi="宋体" w:cs="宋体"/>
                <w:bCs/>
                <w:color w:val="auto"/>
                <w:kern w:val="0"/>
                <w:szCs w:val="24"/>
                <w:highlight w:val="none"/>
              </w:rPr>
              <w:t>商品及金融衍生品类资产之前，管理人应获得相应的业务经营范围或投资交易资格。</w:t>
            </w:r>
            <w:r>
              <w:rPr>
                <w:rFonts w:hint="eastAsia" w:ascii="宋体" w:hAnsi="宋体"/>
                <w:color w:val="auto"/>
                <w:szCs w:val="24"/>
                <w:highlight w:val="none"/>
              </w:rPr>
              <w:t>）</w:t>
            </w:r>
            <w:r>
              <w:rPr>
                <w:rFonts w:hint="eastAsia" w:ascii="宋体" w:hAnsi="宋体"/>
                <w:b/>
                <w:color w:val="auto"/>
                <w:szCs w:val="24"/>
                <w:highlight w:val="none"/>
              </w:rPr>
              <w:t>管理人根据拟投资资产种类、配置比例、运作策略等因素，结合宏观经济情况和市场趋势的预判分析，</w:t>
            </w:r>
            <w:r>
              <w:rPr>
                <w:rFonts w:hint="eastAsia" w:ascii="宋体" w:hAnsi="宋体"/>
                <w:b/>
                <w:bCs/>
                <w:color w:val="auto"/>
                <w:szCs w:val="24"/>
                <w:highlight w:val="none"/>
              </w:rPr>
              <w:t>综合测算、确定本理财产品的业绩比较基准。</w:t>
            </w:r>
          </w:p>
          <w:p w14:paraId="039F2554">
            <w:pPr>
              <w:snapToGrid w:val="0"/>
              <w:rPr>
                <w:rFonts w:ascii="宋体" w:hAnsi="宋体" w:cs="宋体"/>
                <w:b/>
                <w:color w:val="auto"/>
                <w:highlight w:val="none"/>
              </w:rPr>
            </w:pPr>
            <w:r>
              <w:rPr>
                <w:rFonts w:hint="eastAsia" w:ascii="宋体" w:hAnsi="宋体" w:cs="宋体"/>
                <w:b/>
                <w:color w:val="auto"/>
                <w:highlight w:val="none"/>
              </w:rPr>
              <w:t>业绩比较基准不是预期收益率，不代表产品的未来表现和实际收益，仅作为业绩参考和</w:t>
            </w:r>
            <w:r>
              <w:rPr>
                <w:rFonts w:ascii="宋体" w:hAnsi="宋体" w:cs="宋体"/>
                <w:b/>
                <w:color w:val="auto"/>
                <w:highlight w:val="none"/>
              </w:rPr>
              <w:t>计算</w:t>
            </w:r>
            <w:r>
              <w:rPr>
                <w:rFonts w:hint="eastAsia" w:ascii="宋体" w:hAnsi="宋体" w:cs="宋体"/>
                <w:b/>
                <w:color w:val="auto"/>
                <w:highlight w:val="none"/>
              </w:rPr>
              <w:t>业绩</w:t>
            </w:r>
            <w:r>
              <w:rPr>
                <w:rFonts w:ascii="宋体" w:hAnsi="宋体" w:cs="宋体"/>
                <w:b/>
                <w:color w:val="auto"/>
                <w:highlight w:val="none"/>
              </w:rPr>
              <w:t>报酬</w:t>
            </w:r>
            <w:r>
              <w:rPr>
                <w:rFonts w:hint="eastAsia" w:ascii="宋体" w:hAnsi="宋体" w:cs="宋体"/>
                <w:b/>
                <w:color w:val="auto"/>
                <w:highlight w:val="none"/>
              </w:rPr>
              <w:t>（如有）的依据，不构成对该理财产品的任何收益承诺，投资者能获得的最终收益以实际支付为准。</w:t>
            </w:r>
          </w:p>
          <w:p w14:paraId="07853E45">
            <w:pPr>
              <w:snapToGrid w:val="0"/>
              <w:rPr>
                <w:rFonts w:ascii="宋体" w:hAnsi="宋体"/>
                <w:b/>
                <w:color w:val="auto"/>
                <w:szCs w:val="24"/>
                <w:highlight w:val="none"/>
              </w:rPr>
            </w:pPr>
            <w:r>
              <w:rPr>
                <w:rFonts w:hint="eastAsia" w:ascii="宋体" w:hAnsi="宋体" w:cs="宋体"/>
                <w:b/>
                <w:color w:val="auto"/>
                <w:highlight w:val="none"/>
              </w:rPr>
              <w:t>理财产品存续期内，管理人有权根据市场情况对业绩比较基准进行调整，该调整将通过本《产品说明书》之“信息披露”约定的方式进行信息披露，如未披露调整，以最新披露的业绩比较基准为准。</w:t>
            </w:r>
          </w:p>
        </w:tc>
      </w:tr>
      <w:tr w14:paraId="26F89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8FD2954">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业绩</w:t>
            </w:r>
            <w:r>
              <w:rPr>
                <w:rFonts w:ascii="宋体" w:hAnsi="宋体"/>
                <w:color w:val="auto"/>
                <w:szCs w:val="24"/>
                <w:highlight w:val="none"/>
              </w:rPr>
              <w:t>报酬计提</w:t>
            </w:r>
            <w:r>
              <w:rPr>
                <w:rFonts w:hint="eastAsia" w:ascii="宋体" w:hAnsi="宋体"/>
                <w:color w:val="auto"/>
                <w:szCs w:val="24"/>
                <w:highlight w:val="none"/>
              </w:rPr>
              <w:t>基准</w:t>
            </w:r>
          </w:p>
        </w:tc>
        <w:tc>
          <w:tcPr>
            <w:tcW w:w="7541" w:type="dxa"/>
            <w:gridSpan w:val="4"/>
            <w:vAlign w:val="center"/>
          </w:tcPr>
          <w:p w14:paraId="659F6C25">
            <w:pPr>
              <w:snapToGrid w:val="0"/>
              <w:rPr>
                <w:rFonts w:ascii="宋体" w:hAnsi="宋体"/>
                <w:color w:val="auto"/>
                <w:szCs w:val="24"/>
                <w:highlight w:val="none"/>
              </w:rPr>
            </w:pPr>
            <w:r>
              <w:rPr>
                <w:rFonts w:ascii="宋体" w:hAnsi="宋体"/>
                <w:color w:val="auto"/>
                <w:szCs w:val="24"/>
                <w:highlight w:val="none"/>
              </w:rPr>
              <w:t>1.</w:t>
            </w:r>
            <w:r>
              <w:rPr>
                <w:rFonts w:hint="eastAsia" w:ascii="宋体" w:hAnsi="宋体"/>
                <w:color w:val="auto"/>
                <w:szCs w:val="24"/>
                <w:highlight w:val="none"/>
              </w:rPr>
              <w:t>业绩报酬计提基准的</w:t>
            </w:r>
            <w:r>
              <w:rPr>
                <w:rFonts w:ascii="宋体" w:hAnsi="宋体"/>
                <w:color w:val="auto"/>
                <w:szCs w:val="24"/>
                <w:highlight w:val="none"/>
              </w:rPr>
              <w:t>设置</w:t>
            </w:r>
          </w:p>
          <w:p w14:paraId="7A71E865">
            <w:pPr>
              <w:snapToGrid w:val="0"/>
              <w:rPr>
                <w:rFonts w:ascii="宋体" w:hAnsi="宋体"/>
                <w:b/>
                <w:color w:val="auto"/>
                <w:szCs w:val="24"/>
                <w:highlight w:val="none"/>
              </w:rPr>
            </w:pPr>
            <w:r>
              <w:rPr>
                <w:rFonts w:ascii="Wingdings 2" w:hAnsi="Wingdings 2" w:eastAsia="宋体" w:cs="东文宋体"/>
                <w:color w:val="auto"/>
                <w:szCs w:val="24"/>
                <w:highlight w:val="none"/>
              </w:rPr>
              <w:t>R</w:t>
            </w:r>
            <w:r>
              <w:rPr>
                <w:rFonts w:hint="eastAsia" w:ascii="仿宋_GB2312" w:hAnsi="宋体"/>
                <w:color w:val="auto"/>
                <w:szCs w:val="24"/>
                <w:highlight w:val="none"/>
              </w:rPr>
              <w:t xml:space="preserve"> </w:t>
            </w:r>
            <w:r>
              <w:rPr>
                <w:rFonts w:hint="eastAsia" w:ascii="宋体" w:hAnsi="宋体"/>
                <w:b/>
                <w:color w:val="auto"/>
                <w:szCs w:val="24"/>
                <w:highlight w:val="none"/>
              </w:rPr>
              <w:t>产品管理人设置业绩报酬计提基准。</w:t>
            </w:r>
          </w:p>
          <w:p w14:paraId="7B42F50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2.65%</w:t>
            </w:r>
            <w:r>
              <w:rPr>
                <w:rFonts w:hint="eastAsia" w:ascii="宋体" w:hAnsi="宋体"/>
                <w:b/>
                <w:color w:val="auto"/>
                <w:szCs w:val="24"/>
                <w:highlight w:val="none"/>
              </w:rPr>
              <w:t>】（适用【A】类份额）</w:t>
            </w:r>
          </w:p>
          <w:p w14:paraId="71102BA2">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2.55%</w:t>
            </w:r>
            <w:r>
              <w:rPr>
                <w:rFonts w:hint="eastAsia" w:ascii="宋体" w:hAnsi="宋体"/>
                <w:b/>
                <w:color w:val="auto"/>
                <w:szCs w:val="24"/>
                <w:highlight w:val="none"/>
              </w:rPr>
              <w:t>】（适用【</w:t>
            </w:r>
            <w:r>
              <w:rPr>
                <w:rFonts w:hint="eastAsia" w:ascii="宋体" w:hAnsi="宋体"/>
                <w:b/>
                <w:color w:val="auto"/>
                <w:szCs w:val="24"/>
                <w:highlight w:val="none"/>
                <w:lang w:val="en-US" w:eastAsia="zh-CN"/>
              </w:rPr>
              <w:t>C</w:t>
            </w:r>
            <w:r>
              <w:rPr>
                <w:rFonts w:hint="eastAsia" w:ascii="宋体" w:hAnsi="宋体"/>
                <w:b/>
                <w:color w:val="auto"/>
                <w:szCs w:val="24"/>
                <w:highlight w:val="none"/>
              </w:rPr>
              <w:t>】类份额）</w:t>
            </w:r>
          </w:p>
          <w:p w14:paraId="429018F1">
            <w:pPr>
              <w:widowControl/>
              <w:jc w:val="left"/>
              <w:rPr>
                <w:rFonts w:hint="eastAsia" w:ascii="宋体" w:hAnsi="宋体"/>
                <w:b/>
                <w:color w:val="auto"/>
                <w:szCs w:val="24"/>
                <w:highlight w:val="none"/>
              </w:rPr>
            </w:pPr>
            <w:r>
              <w:rPr>
                <w:rFonts w:hint="eastAsia" w:ascii="宋体" w:hAnsi="宋体"/>
                <w:b/>
                <w:color w:val="auto"/>
                <w:szCs w:val="24"/>
                <w:highlight w:val="none"/>
              </w:rPr>
              <w:t>年化【</w:t>
            </w:r>
            <w:r>
              <w:rPr>
                <w:rFonts w:hint="eastAsia" w:ascii="宋体" w:hAnsi="宋体"/>
                <w:b/>
                <w:color w:val="auto"/>
                <w:szCs w:val="24"/>
                <w:highlight w:val="none"/>
                <w:lang w:val="en-US" w:eastAsia="zh-CN"/>
              </w:rPr>
              <w:t>2.70%</w:t>
            </w:r>
            <w:r>
              <w:rPr>
                <w:rFonts w:hint="eastAsia" w:ascii="宋体" w:hAnsi="宋体"/>
                <w:b/>
                <w:color w:val="auto"/>
                <w:szCs w:val="24"/>
                <w:highlight w:val="none"/>
              </w:rPr>
              <w:t>】（适用</w:t>
            </w:r>
            <w:r>
              <w:rPr>
                <w:rFonts w:hint="eastAsia" w:ascii="宋体" w:hAnsi="宋体"/>
                <w:b/>
                <w:color w:val="auto"/>
                <w:szCs w:val="24"/>
                <w:highlight w:val="none"/>
                <w:lang w:eastAsia="zh-CN"/>
              </w:rPr>
              <w:t>【H】类</w:t>
            </w:r>
            <w:r>
              <w:rPr>
                <w:rFonts w:hint="eastAsia" w:ascii="宋体" w:hAnsi="宋体"/>
                <w:b/>
                <w:color w:val="auto"/>
                <w:szCs w:val="24"/>
                <w:highlight w:val="none"/>
              </w:rPr>
              <w:t>份额）</w:t>
            </w:r>
          </w:p>
          <w:p w14:paraId="3E6823C3">
            <w:pPr>
              <w:snapToGrid w:val="0"/>
              <w:rPr>
                <w:rFonts w:ascii="宋体" w:hAnsi="宋体"/>
                <w:b/>
                <w:color w:val="auto"/>
                <w:szCs w:val="24"/>
                <w:highlight w:val="none"/>
              </w:rPr>
            </w:pPr>
            <w:r>
              <w:rPr>
                <w:rFonts w:hint="eastAsia" w:ascii="宋体" w:hAnsi="宋体" w:eastAsia="宋体" w:cs="东文宋体"/>
                <w:color w:val="auto"/>
                <w:szCs w:val="24"/>
                <w:highlight w:val="none"/>
              </w:rPr>
              <w:t>□</w:t>
            </w:r>
            <w:r>
              <w:rPr>
                <w:rFonts w:hint="eastAsia" w:ascii="宋体" w:hAnsi="宋体"/>
                <w:b/>
                <w:color w:val="auto"/>
                <w:szCs w:val="24"/>
                <w:highlight w:val="none"/>
              </w:rPr>
              <w:t>产品管理人不设置业绩报酬计提基准。</w:t>
            </w:r>
          </w:p>
          <w:p w14:paraId="119FCBAF">
            <w:pPr>
              <w:snapToGrid w:val="0"/>
              <w:rPr>
                <w:rFonts w:ascii="宋体" w:hAnsi="宋体"/>
                <w:b/>
                <w:color w:val="auto"/>
                <w:szCs w:val="24"/>
                <w:highlight w:val="none"/>
              </w:rPr>
            </w:pPr>
            <w:r>
              <w:rPr>
                <w:rFonts w:hint="eastAsia" w:ascii="宋体" w:hAnsi="宋体"/>
                <w:b/>
                <w:color w:val="auto"/>
                <w:szCs w:val="24"/>
                <w:highlight w:val="none"/>
              </w:rPr>
              <w:t>2.业绩报酬计提基准的提示：</w:t>
            </w:r>
          </w:p>
          <w:p w14:paraId="11AB5544">
            <w:pPr>
              <w:snapToGrid w:val="0"/>
              <w:rPr>
                <w:rFonts w:ascii="宋体" w:hAnsi="宋体"/>
                <w:b/>
                <w:color w:val="auto"/>
                <w:szCs w:val="24"/>
                <w:highlight w:val="none"/>
              </w:rPr>
            </w:pPr>
            <w:r>
              <w:rPr>
                <w:rFonts w:hint="eastAsia" w:ascii="宋体" w:hAnsi="宋体"/>
                <w:b/>
                <w:color w:val="auto"/>
                <w:szCs w:val="24"/>
                <w:highlight w:val="none"/>
              </w:rPr>
              <w:t>（1）业绩报酬计提基准仅作为管理人计算业绩报酬的参照标准。业绩</w:t>
            </w:r>
            <w:r>
              <w:rPr>
                <w:rFonts w:ascii="宋体" w:hAnsi="宋体"/>
                <w:b/>
                <w:color w:val="auto"/>
                <w:szCs w:val="24"/>
                <w:highlight w:val="none"/>
              </w:rPr>
              <w:t>报酬</w:t>
            </w:r>
            <w:r>
              <w:rPr>
                <w:rFonts w:hint="eastAsia" w:ascii="宋体" w:hAnsi="宋体"/>
                <w:b/>
                <w:color w:val="auto"/>
                <w:szCs w:val="24"/>
                <w:highlight w:val="none"/>
              </w:rPr>
              <w:t>计提基准不是预期收益率，不代表产品的未来表现和实际收益，不构成对产品收益的承诺。</w:t>
            </w:r>
          </w:p>
          <w:p w14:paraId="1EEAF3FC">
            <w:pPr>
              <w:widowControl/>
              <w:jc w:val="left"/>
              <w:rPr>
                <w:rFonts w:ascii="宋体" w:hAnsi="宋体"/>
                <w:b/>
                <w:color w:val="auto"/>
                <w:szCs w:val="24"/>
                <w:highlight w:val="none"/>
              </w:rPr>
            </w:pPr>
            <w:r>
              <w:rPr>
                <w:rFonts w:hint="eastAsia" w:ascii="宋体" w:hAnsi="宋体"/>
                <w:b/>
                <w:color w:val="auto"/>
                <w:szCs w:val="24"/>
                <w:highlight w:val="none"/>
              </w:rPr>
              <w:t>（2）如果法律法规、</w:t>
            </w:r>
            <w:r>
              <w:rPr>
                <w:rFonts w:ascii="宋体" w:hAnsi="宋体"/>
                <w:b/>
                <w:color w:val="auto"/>
                <w:szCs w:val="24"/>
                <w:highlight w:val="none"/>
              </w:rPr>
              <w:t>国家政策</w:t>
            </w:r>
            <w:r>
              <w:rPr>
                <w:rFonts w:hint="eastAsia" w:ascii="宋体" w:hAnsi="宋体"/>
                <w:b/>
                <w:color w:val="auto"/>
                <w:szCs w:val="24"/>
                <w:highlight w:val="none"/>
              </w:rPr>
              <w:t>发生变化，或者有其他代表性更强、更科学客观的业绩报酬计提基准适用于本产品时，经产品管理人和产品托管人协商一致后，本产品可以调整业绩报酬计提基准并及时公告。</w:t>
            </w:r>
          </w:p>
        </w:tc>
      </w:tr>
      <w:tr w14:paraId="73EA3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60F39E94">
            <w:pPr>
              <w:snapToGrid w:val="0"/>
              <w:ind w:left="77" w:leftChars="26" w:hanging="15"/>
              <w:jc w:val="center"/>
              <w:rPr>
                <w:rFonts w:ascii="宋体" w:hAnsi="宋体"/>
                <w:color w:val="auto"/>
                <w:szCs w:val="24"/>
                <w:highlight w:val="none"/>
              </w:rPr>
            </w:pPr>
            <w:r>
              <w:rPr>
                <w:rFonts w:hint="eastAsia" w:ascii="宋体" w:hAnsi="宋体"/>
                <w:color w:val="auto"/>
                <w:szCs w:val="24"/>
                <w:highlight w:val="none"/>
              </w:rPr>
              <w:t>产品份额净值</w:t>
            </w:r>
          </w:p>
        </w:tc>
        <w:tc>
          <w:tcPr>
            <w:tcW w:w="7541" w:type="dxa"/>
            <w:gridSpan w:val="4"/>
            <w:vAlign w:val="center"/>
          </w:tcPr>
          <w:p w14:paraId="4D2868D2">
            <w:pPr>
              <w:snapToGrid w:val="0"/>
              <w:rPr>
                <w:rFonts w:ascii="宋体" w:hAnsi="宋体"/>
                <w:color w:val="auto"/>
                <w:szCs w:val="24"/>
                <w:highlight w:val="none"/>
              </w:rPr>
            </w:pPr>
            <w:r>
              <w:rPr>
                <w:rFonts w:hint="eastAsia" w:ascii="宋体" w:hAnsi="宋体"/>
                <w:color w:val="auto"/>
                <w:szCs w:val="24"/>
                <w:highlight w:val="none"/>
              </w:rPr>
              <w:t>理财产品份额净值是提取相关税费后单位理财产品份额的净值；份额净值随理财产品投资运行情况变化而变化。</w:t>
            </w:r>
          </w:p>
          <w:p w14:paraId="48499AA2">
            <w:pPr>
              <w:snapToGrid w:val="0"/>
              <w:rPr>
                <w:rFonts w:hint="eastAsia" w:ascii="宋体" w:hAnsi="宋体" w:eastAsia="仿宋_GB2312"/>
                <w:color w:val="auto"/>
                <w:szCs w:val="24"/>
                <w:highlight w:val="none"/>
                <w:lang w:eastAsia="zh-CN"/>
              </w:rPr>
            </w:pPr>
            <w:r>
              <w:rPr>
                <w:rFonts w:hint="eastAsia" w:ascii="宋体" w:hAnsi="宋体"/>
                <w:color w:val="auto"/>
                <w:szCs w:val="24"/>
                <w:highlight w:val="none"/>
              </w:rPr>
              <w:t>本产品募集期内，投资者按份额净值进行认购</w:t>
            </w:r>
            <w:r>
              <w:rPr>
                <w:rFonts w:hint="eastAsia" w:ascii="宋体" w:hAnsi="宋体"/>
                <w:color w:val="auto"/>
                <w:szCs w:val="24"/>
                <w:highlight w:val="none"/>
                <w:lang w:eastAsia="zh-CN"/>
              </w:rPr>
              <w:t>。</w:t>
            </w:r>
          </w:p>
          <w:p w14:paraId="3424B879">
            <w:pPr>
              <w:snapToGrid w:val="0"/>
              <w:rPr>
                <w:rFonts w:ascii="宋体" w:hAnsi="宋体"/>
                <w:b/>
                <w:bCs/>
                <w:color w:val="auto"/>
                <w:szCs w:val="24"/>
                <w:highlight w:val="none"/>
              </w:rPr>
            </w:pPr>
            <w:r>
              <w:rPr>
                <w:rFonts w:hint="eastAsia" w:ascii="宋体" w:hAnsi="宋体"/>
                <w:b/>
                <w:bCs/>
                <w:color w:val="auto"/>
                <w:szCs w:val="24"/>
                <w:highlight w:val="none"/>
              </w:rPr>
              <w:t>本产品初始份额净值为1.0000元/份。</w:t>
            </w:r>
          </w:p>
        </w:tc>
      </w:tr>
      <w:tr w14:paraId="35F7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39DDFC8A">
            <w:pPr>
              <w:snapToGrid w:val="0"/>
              <w:ind w:left="-178" w:leftChars="-74" w:right="-178" w:rightChars="-74"/>
              <w:jc w:val="center"/>
              <w:rPr>
                <w:rFonts w:ascii="宋体" w:hAnsi="宋体"/>
                <w:color w:val="auto"/>
                <w:szCs w:val="24"/>
                <w:highlight w:val="none"/>
              </w:rPr>
            </w:pPr>
            <w:r>
              <w:rPr>
                <w:rFonts w:hint="eastAsia" w:ascii="宋体" w:hAnsi="宋体" w:cs="宋体"/>
                <w:color w:val="auto"/>
                <w:highlight w:val="none"/>
              </w:rPr>
              <w:t>产品费用</w:t>
            </w:r>
          </w:p>
        </w:tc>
        <w:tc>
          <w:tcPr>
            <w:tcW w:w="7541" w:type="dxa"/>
            <w:gridSpan w:val="4"/>
            <w:vAlign w:val="center"/>
          </w:tcPr>
          <w:p w14:paraId="49199816">
            <w:pPr>
              <w:numPr>
                <w:ilvl w:val="0"/>
                <w:numId w:val="2"/>
              </w:numPr>
              <w:rPr>
                <w:rFonts w:ascii="宋体" w:hAnsi="宋体"/>
                <w:b/>
                <w:color w:val="auto"/>
                <w:szCs w:val="24"/>
                <w:highlight w:val="none"/>
              </w:rPr>
            </w:pPr>
            <w:r>
              <w:rPr>
                <w:rFonts w:hint="eastAsia" w:ascii="宋体" w:hAnsi="宋体"/>
                <w:b/>
                <w:color w:val="auto"/>
                <w:szCs w:val="24"/>
                <w:highlight w:val="none"/>
              </w:rPr>
              <w:t>销售服务费率：</w:t>
            </w:r>
          </w:p>
          <w:p w14:paraId="64CFB255">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】（适用【A】类份额）</w:t>
            </w:r>
          </w:p>
          <w:p w14:paraId="0E106564">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w:t>
            </w:r>
            <w:r>
              <w:rPr>
                <w:rFonts w:hint="eastAsia" w:ascii="宋体" w:hAnsi="宋体"/>
                <w:b/>
                <w:color w:val="auto"/>
                <w:szCs w:val="24"/>
                <w:highlight w:val="none"/>
                <w:lang w:eastAsia="zh-CN"/>
              </w:rPr>
              <w:t>【</w:t>
            </w:r>
            <w:r>
              <w:rPr>
                <w:rFonts w:hint="eastAsia" w:ascii="宋体" w:hAnsi="宋体"/>
                <w:b/>
                <w:color w:val="auto"/>
                <w:szCs w:val="24"/>
                <w:highlight w:val="none"/>
                <w:lang w:val="en-US" w:eastAsia="zh-CN"/>
              </w:rPr>
              <w:t>C</w:t>
            </w:r>
            <w:r>
              <w:rPr>
                <w:rFonts w:hint="eastAsia" w:ascii="宋体" w:hAnsi="宋体"/>
                <w:b/>
                <w:color w:val="auto"/>
                <w:szCs w:val="24"/>
                <w:highlight w:val="none"/>
                <w:lang w:eastAsia="zh-CN"/>
              </w:rPr>
              <w:t>】</w:t>
            </w:r>
            <w:r>
              <w:rPr>
                <w:rFonts w:hint="eastAsia" w:ascii="宋体" w:hAnsi="宋体"/>
                <w:b/>
                <w:color w:val="auto"/>
                <w:szCs w:val="24"/>
                <w:highlight w:val="none"/>
              </w:rPr>
              <w:t>类份额）</w:t>
            </w:r>
          </w:p>
          <w:p w14:paraId="17438363">
            <w:pPr>
              <w:rPr>
                <w:rFonts w:hint="eastAsia" w:ascii="宋体" w:hAnsi="宋体"/>
                <w:b/>
                <w:color w:val="auto"/>
                <w:szCs w:val="24"/>
                <w:highlight w:val="none"/>
              </w:rPr>
            </w:pPr>
            <w:r>
              <w:rPr>
                <w:rFonts w:hint="eastAsia" w:ascii="宋体" w:hAnsi="宋体"/>
                <w:b/>
                <w:color w:val="auto"/>
                <w:szCs w:val="24"/>
                <w:highlight w:val="none"/>
              </w:rPr>
              <w:t>年化费率【</w:t>
            </w:r>
            <w:r>
              <w:rPr>
                <w:rFonts w:hint="eastAsia" w:ascii="宋体" w:hAnsi="宋体"/>
                <w:b/>
                <w:color w:val="auto"/>
                <w:szCs w:val="24"/>
                <w:highlight w:val="none"/>
                <w:lang w:val="en-US" w:eastAsia="zh-CN"/>
              </w:rPr>
              <w:t>0.30%</w:t>
            </w:r>
            <w:r>
              <w:rPr>
                <w:rFonts w:hint="eastAsia" w:ascii="宋体" w:hAnsi="宋体"/>
                <w:b/>
                <w:color w:val="auto"/>
                <w:szCs w:val="24"/>
                <w:highlight w:val="none"/>
              </w:rPr>
              <w:t>】（适用</w:t>
            </w:r>
            <w:r>
              <w:rPr>
                <w:rFonts w:hint="eastAsia" w:ascii="宋体" w:hAnsi="宋体"/>
                <w:b/>
                <w:color w:val="auto"/>
                <w:szCs w:val="24"/>
                <w:highlight w:val="none"/>
                <w:lang w:eastAsia="zh-CN"/>
              </w:rPr>
              <w:t>【H】类</w:t>
            </w:r>
            <w:r>
              <w:rPr>
                <w:rFonts w:hint="eastAsia" w:ascii="宋体" w:hAnsi="宋体"/>
                <w:b/>
                <w:color w:val="auto"/>
                <w:szCs w:val="24"/>
                <w:highlight w:val="none"/>
              </w:rPr>
              <w:t>份额）</w:t>
            </w:r>
          </w:p>
          <w:p w14:paraId="768736E2">
            <w:pPr>
              <w:rPr>
                <w:rFonts w:ascii="宋体" w:hAnsi="宋体"/>
                <w:b/>
                <w:color w:val="auto"/>
                <w:szCs w:val="24"/>
                <w:highlight w:val="none"/>
              </w:rPr>
            </w:pPr>
            <w:r>
              <w:rPr>
                <w:rFonts w:ascii="宋体" w:hAnsi="宋体"/>
                <w:b/>
                <w:color w:val="auto"/>
                <w:szCs w:val="24"/>
                <w:highlight w:val="none"/>
              </w:rPr>
              <w:t>2.</w:t>
            </w:r>
            <w:r>
              <w:rPr>
                <w:rFonts w:hint="eastAsia" w:ascii="宋体" w:hAnsi="宋体"/>
                <w:b/>
                <w:color w:val="auto"/>
                <w:szCs w:val="24"/>
                <w:highlight w:val="none"/>
              </w:rPr>
              <w:t>投资管理费率：年化费率</w:t>
            </w:r>
            <w:r>
              <w:rPr>
                <w:rFonts w:ascii="宋体" w:hAnsi="宋体"/>
                <w:b/>
                <w:color w:val="auto"/>
                <w:szCs w:val="24"/>
                <w:highlight w:val="none"/>
              </w:rPr>
              <w:t>【</w:t>
            </w:r>
            <w:r>
              <w:rPr>
                <w:rFonts w:hint="eastAsia" w:ascii="宋体" w:hAnsi="宋体"/>
                <w:b/>
                <w:color w:val="auto"/>
                <w:szCs w:val="24"/>
                <w:highlight w:val="none"/>
                <w:lang w:val="en-US" w:eastAsia="zh-CN"/>
              </w:rPr>
              <w:t>0.30%</w:t>
            </w:r>
            <w:r>
              <w:rPr>
                <w:rFonts w:hint="eastAsia" w:ascii="宋体" w:hAnsi="宋体"/>
                <w:b/>
                <w:color w:val="auto"/>
                <w:szCs w:val="24"/>
                <w:highlight w:val="none"/>
              </w:rPr>
              <w:t xml:space="preserve">】 </w:t>
            </w:r>
          </w:p>
          <w:p w14:paraId="5CEBD6FC">
            <w:pPr>
              <w:tabs>
                <w:tab w:val="left" w:pos="312"/>
              </w:tabs>
              <w:snapToGrid w:val="0"/>
              <w:rPr>
                <w:rFonts w:ascii="宋体" w:hAnsi="宋体"/>
                <w:b/>
                <w:color w:val="auto"/>
                <w:szCs w:val="24"/>
                <w:highlight w:val="none"/>
              </w:rPr>
            </w:pPr>
            <w:r>
              <w:rPr>
                <w:rFonts w:ascii="宋体" w:hAnsi="宋体"/>
                <w:b/>
                <w:color w:val="auto"/>
                <w:szCs w:val="24"/>
                <w:highlight w:val="none"/>
              </w:rPr>
              <w:t>3.</w:t>
            </w:r>
            <w:r>
              <w:rPr>
                <w:rFonts w:hint="eastAsia" w:ascii="宋体" w:hAnsi="宋体"/>
                <w:b/>
                <w:color w:val="auto"/>
                <w:szCs w:val="24"/>
                <w:highlight w:val="none"/>
              </w:rPr>
              <w:t>产品托管费率：年化费率【</w:t>
            </w:r>
            <w:r>
              <w:rPr>
                <w:rFonts w:hint="eastAsia" w:ascii="宋体" w:hAnsi="宋体"/>
                <w:b/>
                <w:color w:val="auto"/>
                <w:szCs w:val="24"/>
                <w:highlight w:val="none"/>
                <w:lang w:val="en-US" w:eastAsia="zh-CN"/>
              </w:rPr>
              <w:t>0.02%</w:t>
            </w:r>
            <w:r>
              <w:rPr>
                <w:rFonts w:hint="eastAsia" w:ascii="宋体" w:hAnsi="宋体"/>
                <w:b/>
                <w:color w:val="auto"/>
                <w:szCs w:val="24"/>
                <w:highlight w:val="none"/>
              </w:rPr>
              <w:t>】</w:t>
            </w:r>
          </w:p>
          <w:p w14:paraId="4BD4BD10">
            <w:pPr>
              <w:tabs>
                <w:tab w:val="left" w:pos="312"/>
              </w:tabs>
              <w:snapToGrid w:val="0"/>
              <w:rPr>
                <w:rFonts w:ascii="宋体" w:hAnsi="宋体"/>
                <w:b/>
                <w:color w:val="auto"/>
                <w:szCs w:val="24"/>
                <w:highlight w:val="none"/>
              </w:rPr>
            </w:pPr>
            <w:r>
              <w:rPr>
                <w:rFonts w:hint="eastAsia" w:ascii="宋体" w:hAnsi="宋体"/>
                <w:b/>
                <w:color w:val="auto"/>
                <w:szCs w:val="24"/>
                <w:highlight w:val="none"/>
              </w:rPr>
              <w:t>4</w:t>
            </w:r>
            <w:r>
              <w:rPr>
                <w:rFonts w:ascii="宋体" w:hAnsi="宋体"/>
                <w:b/>
                <w:color w:val="auto"/>
                <w:szCs w:val="24"/>
                <w:highlight w:val="none"/>
              </w:rPr>
              <w:t>.</w:t>
            </w:r>
            <w:r>
              <w:rPr>
                <w:rFonts w:hint="eastAsia" w:ascii="宋体" w:hAnsi="宋体"/>
                <w:b/>
                <w:color w:val="auto"/>
                <w:szCs w:val="24"/>
                <w:highlight w:val="none"/>
              </w:rPr>
              <w:t>业绩报酬：</w:t>
            </w:r>
          </w:p>
          <w:p w14:paraId="6EFA312E">
            <w:pPr>
              <w:tabs>
                <w:tab w:val="left" w:pos="312"/>
              </w:tabs>
              <w:snapToGrid w:val="0"/>
              <w:rPr>
                <w:rFonts w:ascii="宋体" w:hAnsi="宋体"/>
                <w:b/>
                <w:color w:val="auto"/>
                <w:szCs w:val="24"/>
                <w:highlight w:val="none"/>
              </w:rPr>
            </w:pPr>
            <w:r>
              <w:rPr>
                <w:rFonts w:hint="eastAsia" w:ascii="宋体" w:hAnsi="宋体"/>
                <w:b/>
                <w:color w:val="auto"/>
                <w:szCs w:val="24"/>
                <w:highlight w:val="none"/>
              </w:rPr>
              <w:t>在业绩报酬计提日时，若理财资产扣除销售服务费、产品托管费和投资管理费等相关费用和税收后，业绩报酬计提日产品份额净值折算的当前年化收益率超过当前业绩报酬计提基准，则产品管理人计提超出部分的【</w:t>
            </w:r>
            <w:r>
              <w:rPr>
                <w:rFonts w:hint="eastAsia" w:ascii="宋体" w:hAnsi="宋体"/>
                <w:b/>
                <w:color w:val="auto"/>
                <w:szCs w:val="24"/>
                <w:highlight w:val="none"/>
                <w:lang w:val="en-US" w:eastAsia="zh-CN"/>
              </w:rPr>
              <w:t>50%</w:t>
            </w:r>
            <w:r>
              <w:rPr>
                <w:rFonts w:hint="eastAsia" w:ascii="宋体" w:hAnsi="宋体"/>
                <w:b/>
                <w:color w:val="auto"/>
                <w:szCs w:val="24"/>
                <w:highlight w:val="none"/>
              </w:rPr>
              <w:t>】作为业绩报酬。</w:t>
            </w:r>
          </w:p>
          <w:p w14:paraId="36922CE2">
            <w:pPr>
              <w:tabs>
                <w:tab w:val="left" w:pos="312"/>
              </w:tabs>
              <w:snapToGrid w:val="0"/>
              <w:rPr>
                <w:rFonts w:ascii="宋体" w:hAnsi="宋体"/>
                <w:color w:val="auto"/>
                <w:szCs w:val="24"/>
                <w:highlight w:val="none"/>
              </w:rPr>
            </w:pPr>
            <w:r>
              <w:rPr>
                <w:rFonts w:ascii="宋体" w:hAnsi="宋体"/>
                <w:color w:val="auto"/>
                <w:szCs w:val="24"/>
                <w:highlight w:val="none"/>
              </w:rPr>
              <w:t>5.</w:t>
            </w:r>
            <w:r>
              <w:rPr>
                <w:rFonts w:hint="eastAsia" w:ascii="宋体" w:hAnsi="宋体"/>
                <w:b/>
                <w:bCs/>
                <w:color w:val="auto"/>
                <w:szCs w:val="24"/>
                <w:highlight w:val="none"/>
              </w:rPr>
              <w:t>其他费用（如有）：与理财产品相关的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557B12C1">
            <w:pPr>
              <w:snapToGrid w:val="0"/>
              <w:rPr>
                <w:rFonts w:ascii="宋体" w:hAnsi="宋体"/>
                <w:color w:val="auto"/>
                <w:szCs w:val="24"/>
                <w:highlight w:val="none"/>
              </w:rPr>
            </w:pPr>
            <w:r>
              <w:rPr>
                <w:rFonts w:ascii="宋体" w:hAnsi="宋体"/>
                <w:color w:val="auto"/>
                <w:szCs w:val="24"/>
                <w:highlight w:val="none"/>
              </w:rPr>
              <w:t>6</w:t>
            </w:r>
            <w:r>
              <w:rPr>
                <w:rFonts w:hint="eastAsia" w:ascii="宋体" w:hAnsi="宋体"/>
                <w:color w:val="auto"/>
                <w:szCs w:val="24"/>
                <w:highlight w:val="none"/>
              </w:rPr>
              <w:t>.本产品无认购费、申购费、赎回费；</w:t>
            </w:r>
          </w:p>
          <w:p w14:paraId="0A1DC033">
            <w:pPr>
              <w:snapToGrid w:val="0"/>
              <w:rPr>
                <w:rFonts w:ascii="宋体" w:hAnsi="宋体"/>
                <w:color w:val="auto"/>
                <w:szCs w:val="24"/>
                <w:highlight w:val="none"/>
              </w:rPr>
            </w:pPr>
            <w:r>
              <w:rPr>
                <w:rFonts w:hint="eastAsia" w:ascii="宋体" w:hAnsi="宋体"/>
                <w:color w:val="auto"/>
                <w:szCs w:val="24"/>
                <w:highlight w:val="none"/>
              </w:rPr>
              <w:t>产品管理人保留调整上述理财产品收取费率标准的权利。以上费用精确到小数点后2位，小数点2位以后四舍五入。</w:t>
            </w:r>
          </w:p>
        </w:tc>
      </w:tr>
      <w:tr w14:paraId="5A0E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52D438E1">
            <w:pPr>
              <w:snapToGrid w:val="0"/>
              <w:jc w:val="center"/>
              <w:rPr>
                <w:rFonts w:ascii="宋体" w:hAnsi="宋体"/>
                <w:bCs/>
                <w:iCs/>
                <w:color w:val="auto"/>
                <w:szCs w:val="24"/>
                <w:highlight w:val="none"/>
              </w:rPr>
            </w:pPr>
            <w:r>
              <w:rPr>
                <w:rFonts w:hint="eastAsia" w:ascii="宋体" w:hAnsi="宋体"/>
                <w:color w:val="auto"/>
                <w:szCs w:val="24"/>
                <w:highlight w:val="none"/>
              </w:rPr>
              <w:t>销售渠道</w:t>
            </w:r>
          </w:p>
        </w:tc>
        <w:tc>
          <w:tcPr>
            <w:tcW w:w="7541" w:type="dxa"/>
            <w:gridSpan w:val="4"/>
            <w:vAlign w:val="center"/>
          </w:tcPr>
          <w:p w14:paraId="73F97D56">
            <w:pPr>
              <w:snapToGrid w:val="0"/>
              <w:jc w:val="left"/>
              <w:rPr>
                <w:rFonts w:ascii="宋体" w:hAnsi="宋体"/>
                <w:bCs/>
                <w:iCs/>
                <w:color w:val="auto"/>
                <w:szCs w:val="24"/>
                <w:highlight w:val="none"/>
              </w:rPr>
            </w:pPr>
            <w:r>
              <w:rPr>
                <w:rFonts w:hint="eastAsia"/>
                <w:b/>
                <w:color w:val="auto"/>
                <w:szCs w:val="24"/>
                <w:highlight w:val="none"/>
                <w:lang w:val="en-US" w:eastAsia="zh-CN"/>
              </w:rPr>
              <w:t>浙商银行股份有限公司、中原银行股份有限公司、赣州银行股份有限公司</w:t>
            </w:r>
            <w:r>
              <w:rPr>
                <w:rFonts w:hint="eastAsia"/>
                <w:b/>
                <w:color w:val="auto"/>
                <w:szCs w:val="24"/>
                <w:highlight w:val="none"/>
              </w:rPr>
              <w:t>及其他销售机构（如有）</w:t>
            </w:r>
          </w:p>
        </w:tc>
      </w:tr>
      <w:tr w14:paraId="2BFF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45B0F71F">
            <w:pPr>
              <w:snapToGrid w:val="0"/>
              <w:jc w:val="center"/>
              <w:rPr>
                <w:rFonts w:ascii="宋体" w:hAnsi="宋体"/>
                <w:color w:val="auto"/>
                <w:szCs w:val="24"/>
                <w:highlight w:val="none"/>
              </w:rPr>
            </w:pPr>
            <w:r>
              <w:rPr>
                <w:rFonts w:hint="eastAsia" w:ascii="宋体" w:hAnsi="宋体"/>
                <w:color w:val="auto"/>
                <w:kern w:val="0"/>
                <w:szCs w:val="24"/>
                <w:highlight w:val="none"/>
              </w:rPr>
              <w:t>信息披露</w:t>
            </w:r>
          </w:p>
        </w:tc>
        <w:tc>
          <w:tcPr>
            <w:tcW w:w="7541" w:type="dxa"/>
            <w:gridSpan w:val="4"/>
            <w:vAlign w:val="center"/>
          </w:tcPr>
          <w:p w14:paraId="242D8752">
            <w:pPr>
              <w:snapToGrid w:val="0"/>
              <w:rPr>
                <w:rFonts w:ascii="宋体" w:hAnsi="宋体"/>
                <w:b/>
                <w:color w:val="auto"/>
                <w:szCs w:val="24"/>
                <w:highlight w:val="none"/>
              </w:rPr>
            </w:pPr>
            <w:r>
              <w:rPr>
                <w:rFonts w:hint="eastAsia" w:ascii="宋体" w:hAnsi="宋体"/>
                <w:b/>
                <w:color w:val="auto"/>
                <w:szCs w:val="24"/>
                <w:highlight w:val="none"/>
              </w:rPr>
              <w:t>本产品成立后，管理人将按【</w:t>
            </w:r>
            <w:r>
              <w:rPr>
                <w:rFonts w:hint="eastAsia" w:ascii="仿宋_GB2312" w:hAnsi="宋体" w:cs="宋体"/>
                <w:b/>
                <w:color w:val="auto"/>
                <w:kern w:val="0"/>
                <w:szCs w:val="24"/>
                <w:highlight w:val="none"/>
              </w:rPr>
              <w:t>周</w:t>
            </w:r>
            <w:r>
              <w:rPr>
                <w:rFonts w:ascii="仿宋_GB2312" w:hAnsi="宋体" w:cs="宋体"/>
                <w:b/>
                <w:color w:val="auto"/>
                <w:kern w:val="0"/>
                <w:szCs w:val="24"/>
                <w:highlight w:val="none"/>
              </w:rPr>
              <w:t>】</w:t>
            </w:r>
            <w:r>
              <w:rPr>
                <w:rFonts w:hint="eastAsia" w:ascii="宋体" w:hAnsi="宋体"/>
                <w:b/>
                <w:color w:val="auto"/>
                <w:szCs w:val="24"/>
                <w:highlight w:val="none"/>
              </w:rPr>
              <w:t>披露理财产品份额净值、资产净值。</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宋体" w:hAnsi="宋体"/>
                <w:b/>
                <w:color w:val="auto"/>
                <w:szCs w:val="24"/>
                <w:highlight w:val="none"/>
              </w:rPr>
              <w:t>。</w:t>
            </w:r>
          </w:p>
          <w:p w14:paraId="3F52940B">
            <w:pPr>
              <w:snapToGrid w:val="0"/>
              <w:rPr>
                <w:b/>
                <w:color w:val="auto"/>
                <w:szCs w:val="24"/>
                <w:highlight w:val="none"/>
              </w:rPr>
            </w:pPr>
            <w:r>
              <w:rPr>
                <w:rFonts w:hint="eastAsia" w:ascii="宋体" w:hAnsi="宋体"/>
                <w:color w:val="auto"/>
                <w:szCs w:val="24"/>
                <w:highlight w:val="none"/>
              </w:rPr>
              <w:t>本产品成立、运行、到期、净值等信息将通过</w:t>
            </w:r>
            <w:r>
              <w:rPr>
                <w:rFonts w:hint="eastAsia" w:ascii="仿宋_GB2312" w:hAnsi="宋体" w:cs="宋体"/>
                <w:b/>
                <w:color w:val="auto"/>
                <w:kern w:val="0"/>
                <w:szCs w:val="24"/>
                <w:highlight w:val="none"/>
              </w:rPr>
              <w:t>产品管理人官方网站</w:t>
            </w:r>
            <w:r>
              <w:rPr>
                <w:rFonts w:ascii="仿宋_GB2312" w:hAnsi="宋体" w:cs="宋体"/>
                <w:b/>
                <w:color w:val="auto"/>
                <w:kern w:val="0"/>
                <w:szCs w:val="24"/>
                <w:highlight w:val="none"/>
              </w:rPr>
              <w:t>www.czbank-wm.com</w:t>
            </w:r>
            <w:r>
              <w:rPr>
                <w:rFonts w:hint="eastAsia" w:ascii="宋体" w:hAnsi="宋体"/>
                <w:b/>
                <w:bCs/>
                <w:color w:val="auto"/>
                <w:szCs w:val="24"/>
                <w:highlight w:val="none"/>
              </w:rPr>
              <w:t>、</w:t>
            </w:r>
            <w:r>
              <w:rPr>
                <w:rFonts w:hint="eastAsia" w:ascii="宋体" w:hAnsi="宋体" w:cs="宋体"/>
                <w:b/>
                <w:bCs/>
                <w:color w:val="auto"/>
                <w:kern w:val="0"/>
                <w:szCs w:val="24"/>
                <w:highlight w:val="none"/>
              </w:rPr>
              <w:t>销售</w:t>
            </w:r>
            <w:r>
              <w:rPr>
                <w:rFonts w:hint="eastAsia" w:ascii="宋体" w:hAnsi="宋体" w:cs="宋体"/>
                <w:b/>
                <w:color w:val="auto"/>
                <w:kern w:val="0"/>
                <w:szCs w:val="24"/>
                <w:highlight w:val="none"/>
              </w:rPr>
              <w:t>机构官方网站、个人手机银行</w:t>
            </w:r>
            <w:r>
              <w:rPr>
                <w:rFonts w:hint="eastAsia" w:ascii="宋体" w:hAnsi="宋体"/>
                <w:b/>
                <w:bCs/>
                <w:color w:val="auto"/>
                <w:szCs w:val="24"/>
                <w:highlight w:val="none"/>
              </w:rPr>
              <w:t>或其他约定的方式等</w:t>
            </w:r>
            <w:r>
              <w:rPr>
                <w:rFonts w:hint="eastAsia" w:ascii="宋体" w:hAnsi="宋体" w:cs="宋体"/>
                <w:b/>
                <w:bCs/>
                <w:color w:val="auto"/>
                <w:kern w:val="0"/>
                <w:szCs w:val="24"/>
                <w:highlight w:val="none"/>
              </w:rPr>
              <w:t>一种或多种渠道进行</w:t>
            </w:r>
            <w:r>
              <w:rPr>
                <w:rFonts w:hint="eastAsia" w:ascii="宋体" w:hAnsi="宋体" w:cs="宋体"/>
                <w:b/>
                <w:color w:val="auto"/>
                <w:kern w:val="0"/>
                <w:szCs w:val="24"/>
                <w:highlight w:val="none"/>
              </w:rPr>
              <w:t>信息披露，</w:t>
            </w:r>
            <w:r>
              <w:rPr>
                <w:rFonts w:hint="eastAsia" w:ascii="宋体" w:hAnsi="宋体"/>
                <w:color w:val="auto"/>
                <w:szCs w:val="24"/>
                <w:highlight w:val="none"/>
              </w:rPr>
              <w:t>请投资者持续关注并及时查看。</w:t>
            </w:r>
          </w:p>
        </w:tc>
      </w:tr>
      <w:tr w14:paraId="35F19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673" w:type="dxa"/>
            <w:vAlign w:val="center"/>
          </w:tcPr>
          <w:p w14:paraId="0CD898CA">
            <w:pPr>
              <w:snapToGrid w:val="0"/>
              <w:jc w:val="center"/>
              <w:rPr>
                <w:rFonts w:ascii="宋体" w:hAnsi="宋体"/>
                <w:color w:val="auto"/>
                <w:kern w:val="0"/>
                <w:szCs w:val="24"/>
                <w:highlight w:val="none"/>
              </w:rPr>
            </w:pPr>
            <w:r>
              <w:rPr>
                <w:rFonts w:hint="eastAsia" w:ascii="宋体" w:hAnsi="宋体"/>
                <w:bCs/>
                <w:iCs/>
                <w:color w:val="auto"/>
                <w:szCs w:val="24"/>
                <w:highlight w:val="none"/>
              </w:rPr>
              <w:t>其他规定</w:t>
            </w:r>
          </w:p>
        </w:tc>
        <w:tc>
          <w:tcPr>
            <w:tcW w:w="7541" w:type="dxa"/>
            <w:gridSpan w:val="4"/>
            <w:vAlign w:val="center"/>
          </w:tcPr>
          <w:p w14:paraId="33D00984">
            <w:pPr>
              <w:snapToGrid w:val="0"/>
              <w:rPr>
                <w:rFonts w:ascii="宋体" w:hAnsi="宋体"/>
                <w:b/>
                <w:bCs/>
                <w:iCs/>
                <w:color w:val="auto"/>
                <w:szCs w:val="24"/>
                <w:highlight w:val="none"/>
              </w:rPr>
            </w:pPr>
            <w:r>
              <w:rPr>
                <w:rFonts w:ascii="宋体" w:hAnsi="宋体"/>
                <w:b/>
                <w:bCs/>
                <w:iCs/>
                <w:color w:val="auto"/>
                <w:szCs w:val="24"/>
                <w:highlight w:val="none"/>
              </w:rPr>
              <w:t>1.</w:t>
            </w:r>
            <w:r>
              <w:rPr>
                <w:rFonts w:hint="eastAsia" w:ascii="宋体" w:hAnsi="宋体"/>
                <w:b/>
                <w:bCs/>
                <w:iCs/>
                <w:color w:val="auto"/>
                <w:szCs w:val="24"/>
                <w:highlight w:val="none"/>
              </w:rPr>
              <w:t>募集期内认购资金是否计息以销售机构为准，但利息不计入认购本金份额。</w:t>
            </w:r>
          </w:p>
          <w:p w14:paraId="53D75A8C">
            <w:pPr>
              <w:snapToGrid w:val="0"/>
              <w:rPr>
                <w:rFonts w:ascii="宋体" w:hAnsi="宋体"/>
                <w:b/>
                <w:bCs/>
                <w:iCs/>
                <w:color w:val="auto"/>
                <w:szCs w:val="24"/>
                <w:highlight w:val="none"/>
              </w:rPr>
            </w:pPr>
            <w:r>
              <w:rPr>
                <w:rFonts w:ascii="宋体" w:hAnsi="宋体"/>
                <w:b/>
                <w:bCs/>
                <w:iCs/>
                <w:color w:val="auto"/>
                <w:szCs w:val="24"/>
                <w:highlight w:val="none"/>
              </w:rPr>
              <w:t>2.</w:t>
            </w:r>
            <w:r>
              <w:rPr>
                <w:rFonts w:hint="eastAsia" w:ascii="宋体" w:hAnsi="宋体"/>
                <w:b/>
                <w:bCs/>
                <w:iCs/>
                <w:color w:val="auto"/>
                <w:szCs w:val="24"/>
                <w:highlight w:val="none"/>
              </w:rPr>
              <w:t>本产品</w:t>
            </w:r>
            <w:r>
              <w:rPr>
                <w:rFonts w:ascii="宋体" w:hAnsi="宋体"/>
                <w:b/>
                <w:bCs/>
                <w:iCs/>
                <w:color w:val="auto"/>
                <w:szCs w:val="24"/>
                <w:highlight w:val="none"/>
              </w:rPr>
              <w:t>到期日（或提前终止日）至</w:t>
            </w:r>
            <w:r>
              <w:rPr>
                <w:rFonts w:hint="eastAsia" w:ascii="宋体" w:hAnsi="宋体"/>
                <w:b/>
                <w:bCs/>
                <w:iCs/>
                <w:color w:val="auto"/>
                <w:szCs w:val="24"/>
                <w:highlight w:val="none"/>
              </w:rPr>
              <w:t>资金</w:t>
            </w:r>
            <w:r>
              <w:rPr>
                <w:rFonts w:ascii="宋体" w:hAnsi="宋体"/>
                <w:b/>
                <w:bCs/>
                <w:iCs/>
                <w:color w:val="auto"/>
                <w:szCs w:val="24"/>
                <w:highlight w:val="none"/>
              </w:rPr>
              <w:t>到账日</w:t>
            </w:r>
            <w:r>
              <w:rPr>
                <w:rFonts w:hint="eastAsia" w:ascii="宋体" w:hAnsi="宋体"/>
                <w:b/>
                <w:bCs/>
                <w:iCs/>
                <w:color w:val="auto"/>
                <w:szCs w:val="24"/>
                <w:highlight w:val="none"/>
              </w:rPr>
              <w:t>期间，投资者理财资金如因清算安排实际产生利息的，相关利息归投资者所有</w:t>
            </w:r>
            <w:r>
              <w:rPr>
                <w:rFonts w:ascii="宋体" w:hAnsi="宋体"/>
                <w:b/>
                <w:bCs/>
                <w:iCs/>
                <w:color w:val="auto"/>
                <w:szCs w:val="24"/>
                <w:highlight w:val="none"/>
              </w:rPr>
              <w:t>。</w:t>
            </w:r>
          </w:p>
          <w:p w14:paraId="27FE7BBC">
            <w:pPr>
              <w:snapToGrid w:val="0"/>
              <w:rPr>
                <w:rFonts w:ascii="宋体" w:hAnsi="宋体"/>
                <w:b/>
                <w:bCs/>
                <w:iCs/>
                <w:color w:val="auto"/>
                <w:szCs w:val="24"/>
                <w:highlight w:val="none"/>
              </w:rPr>
            </w:pPr>
            <w:r>
              <w:rPr>
                <w:rFonts w:hint="eastAsia" w:ascii="宋体" w:hAnsi="宋体"/>
                <w:b/>
                <w:bCs/>
                <w:iCs/>
                <w:color w:val="auto"/>
                <w:szCs w:val="24"/>
                <w:highlight w:val="none"/>
              </w:rPr>
              <w:t>3</w:t>
            </w:r>
            <w:r>
              <w:rPr>
                <w:rFonts w:ascii="宋体" w:hAnsi="宋体"/>
                <w:b/>
                <w:bCs/>
                <w:iCs/>
                <w:color w:val="auto"/>
                <w:szCs w:val="24"/>
                <w:highlight w:val="none"/>
              </w:rPr>
              <w:t>.</w:t>
            </w:r>
            <w:r>
              <w:rPr>
                <w:rFonts w:hint="eastAsia" w:ascii="宋体" w:hAnsi="宋体"/>
                <w:b/>
                <w:bCs/>
                <w:iCs/>
                <w:color w:val="auto"/>
                <w:szCs w:val="24"/>
                <w:highlight w:val="none"/>
              </w:rPr>
              <w:t>理财产品份额转让</w:t>
            </w:r>
            <w:r>
              <w:rPr>
                <w:rFonts w:ascii="宋体" w:hAnsi="宋体"/>
                <w:b/>
                <w:bCs/>
                <w:iCs/>
                <w:color w:val="auto"/>
                <w:szCs w:val="24"/>
                <w:highlight w:val="none"/>
              </w:rPr>
              <w:t>、</w:t>
            </w:r>
            <w:r>
              <w:rPr>
                <w:rFonts w:hint="eastAsia" w:ascii="宋体" w:hAnsi="宋体"/>
                <w:b/>
                <w:bCs/>
                <w:iCs/>
                <w:color w:val="auto"/>
                <w:szCs w:val="24"/>
                <w:highlight w:val="none"/>
              </w:rPr>
              <w:t>质押将依照销售机构与</w:t>
            </w:r>
            <w:r>
              <w:rPr>
                <w:rFonts w:ascii="宋体" w:hAnsi="宋体"/>
                <w:b/>
                <w:bCs/>
                <w:iCs/>
                <w:color w:val="auto"/>
                <w:szCs w:val="24"/>
                <w:highlight w:val="none"/>
              </w:rPr>
              <w:t>管理人</w:t>
            </w:r>
            <w:r>
              <w:rPr>
                <w:rFonts w:hint="eastAsia" w:ascii="宋体" w:hAnsi="宋体"/>
                <w:b/>
                <w:bCs/>
                <w:iCs/>
                <w:color w:val="auto"/>
                <w:szCs w:val="24"/>
                <w:highlight w:val="none"/>
              </w:rPr>
              <w:t>的业务政策执行。</w:t>
            </w:r>
          </w:p>
        </w:tc>
      </w:tr>
    </w:tbl>
    <w:p w14:paraId="05E09236">
      <w:pPr>
        <w:rPr>
          <w:color w:val="auto"/>
          <w:highlight w:val="none"/>
        </w:rPr>
      </w:pPr>
    </w:p>
    <w:p w14:paraId="62C1961E">
      <w:pPr>
        <w:pStyle w:val="2"/>
        <w:rPr>
          <w:color w:val="auto"/>
          <w:highlight w:val="none"/>
        </w:rPr>
      </w:pPr>
      <w:r>
        <w:rPr>
          <w:rFonts w:hint="eastAsia" w:ascii="黑体" w:hAnsi="宋体" w:cs="宋体"/>
          <w:bCs/>
          <w:color w:val="auto"/>
          <w:kern w:val="0"/>
          <w:szCs w:val="24"/>
          <w:highlight w:val="none"/>
        </w:rPr>
        <w:br w:type="page"/>
      </w:r>
      <w:r>
        <w:rPr>
          <w:rFonts w:hint="eastAsia"/>
          <w:color w:val="auto"/>
          <w:highlight w:val="none"/>
        </w:rPr>
        <w:t>理财产品的认购与成立</w:t>
      </w:r>
    </w:p>
    <w:p w14:paraId="05A2A962">
      <w:pPr>
        <w:pStyle w:val="3"/>
        <w:widowControl/>
        <w:adjustRightInd w:val="0"/>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参与主体及主要职责</w:t>
      </w:r>
    </w:p>
    <w:p w14:paraId="4670DB0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产品管理人</w:t>
      </w:r>
    </w:p>
    <w:p w14:paraId="4FA8FF4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名称：浙银理财有限责任公司</w:t>
      </w:r>
    </w:p>
    <w:p w14:paraId="586EB005">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注册地：浙江省杭州市萧山区宁围街道民和路939号浙江商会大厦2幢20-22楼</w:t>
      </w:r>
    </w:p>
    <w:p w14:paraId="5CE5A98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浙银理财负责本产品的投资运作和产品管理，</w:t>
      </w:r>
      <w:r>
        <w:rPr>
          <w:rFonts w:hint="eastAsia" w:ascii="仿宋_GB2312" w:hAnsi="宋体" w:cs="宋体"/>
          <w:b/>
          <w:color w:val="auto"/>
          <w:kern w:val="0"/>
          <w:szCs w:val="24"/>
          <w:highlight w:val="none"/>
        </w:rPr>
        <w:t>投资者在此授权并同意浙银理财享有以下权利</w:t>
      </w:r>
      <w:r>
        <w:rPr>
          <w:rFonts w:hint="eastAsia" w:ascii="仿宋_GB2312" w:hAnsi="宋体" w:cs="宋体"/>
          <w:bCs/>
          <w:color w:val="auto"/>
          <w:kern w:val="0"/>
          <w:szCs w:val="24"/>
          <w:highlight w:val="none"/>
        </w:rPr>
        <w:t>：</w:t>
      </w:r>
    </w:p>
    <w:p w14:paraId="0F091209">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按照本产品销售文件的约定，管理、运用和处分理财产品资金；</w:t>
      </w:r>
    </w:p>
    <w:p w14:paraId="65F16C7A">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按照本产品销售文件的约定，及时、足额获得管理费和本产品说明书约定的其他费用（如有）；</w:t>
      </w:r>
    </w:p>
    <w:p w14:paraId="6AA3003B">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管理人以其固有财产先行垫付因处理本产品相关事务所支出的理财产品费用及税费的，对理财产品资金享有优先受偿权；</w:t>
      </w:r>
    </w:p>
    <w:p w14:paraId="7E73B737">
      <w:pPr>
        <w:widowControl/>
        <w:numPr>
          <w:ilvl w:val="0"/>
          <w:numId w:val="3"/>
        </w:numPr>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管理人有权根据本产品销售文件的约定提前终止或延长本理财产品的期限；</w:t>
      </w:r>
    </w:p>
    <w:p w14:paraId="7986E6E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（5）管理人有权单方调整本产品的发行规模上限、认/申购起点金额、投资者累计认/申购上限、赎回上限等要素；</w:t>
      </w:r>
    </w:p>
    <w:p w14:paraId="2638D34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（6）管理人有权按照法律法规和监管机构的要求将投资者的信息向有权部门或相关机构披露；</w:t>
      </w:r>
    </w:p>
    <w:p w14:paraId="3F1D858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（7）以理财产品管理人的名义，依照法律法规相关规定以及为理财产品的利益，对被投资的各类资产行使出资人/投资者权利（包括但不限于表决投票的权利）；</w:t>
      </w:r>
    </w:p>
    <w:p w14:paraId="333A86A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以理财产品管理人的名义，依照法律法规相关规定以及代表理财产品份额持有人的利益代为行使追索的权利（包括但不限于提起诉讼/仲裁、申请保全/执行的权利）或者实施其他风险处置、行使、放弃、变更相关权利义务的法律行为；</w:t>
      </w:r>
    </w:p>
    <w:p w14:paraId="07CBF73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（9）法律法规、监管政策及本产品销售文件约定的其他权利。</w:t>
      </w:r>
    </w:p>
    <w:p w14:paraId="23F635CB">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2.产品托管机构</w:t>
      </w:r>
    </w:p>
    <w:p w14:paraId="6A5C884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6732C02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14:paraId="1815B186">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38BBB644">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托管机构主要职责：提供包括账户开立、资金保管、资金清算、估值核算、投资监督等理财产品托管服务。</w:t>
      </w:r>
    </w:p>
    <w:p w14:paraId="656A6E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为理财产品资金管理之目的，以本产品的名义在托管人处单独开立资金账户，理财产品资金的一切收支活动，包括但不限于划付对外投资资金、缴纳理财产品税费、接收理财产品回收资金、支付理财产品费用，均必须通过该账户进行。</w:t>
      </w:r>
    </w:p>
    <w:p w14:paraId="6072A30F">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产品销售机构</w:t>
      </w:r>
    </w:p>
    <w:p w14:paraId="1D0830F8">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名称：浙商银行股份有限公司</w:t>
      </w:r>
    </w:p>
    <w:p w14:paraId="04E6505E">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注册地：浙江省杭州市萧山区鸿宁路</w:t>
      </w:r>
      <w:r>
        <w:rPr>
          <w:rFonts w:ascii="仿宋_GB2312" w:hAnsi="宋体" w:cs="宋体"/>
          <w:bCs/>
          <w:color w:val="auto"/>
          <w:kern w:val="0"/>
          <w:szCs w:val="24"/>
          <w:highlight w:val="none"/>
        </w:rPr>
        <w:t>1788</w:t>
      </w:r>
      <w:r>
        <w:rPr>
          <w:rFonts w:hint="eastAsia" w:ascii="仿宋_GB2312" w:hAnsi="宋体" w:cs="宋体"/>
          <w:bCs/>
          <w:color w:val="auto"/>
          <w:kern w:val="0"/>
          <w:szCs w:val="24"/>
          <w:highlight w:val="none"/>
        </w:rPr>
        <w:t>号</w:t>
      </w:r>
    </w:p>
    <w:p w14:paraId="65DB4AE9">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w:t>
      </w:r>
      <w:r>
        <w:rPr>
          <w:rFonts w:ascii="仿宋_GB2312" w:hAnsi="宋体" w:cs="宋体"/>
          <w:bCs/>
          <w:color w:val="auto"/>
          <w:kern w:val="0"/>
          <w:szCs w:val="24"/>
          <w:highlight w:val="none"/>
        </w:rPr>
        <w:t>95527</w:t>
      </w:r>
    </w:p>
    <w:p w14:paraId="55809196">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名称：中原银行股份有限公司</w:t>
      </w:r>
    </w:p>
    <w:p w14:paraId="629D28D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注册地：河南省郑州市郑东新区金融岛外环路9号</w:t>
      </w:r>
    </w:p>
    <w:p w14:paraId="6D108BF3">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客户服务热线：95186</w:t>
      </w:r>
    </w:p>
    <w:p w14:paraId="153F0C8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名称：赣州银行股份有限公司</w:t>
      </w:r>
    </w:p>
    <w:p w14:paraId="7C53267C">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注册地：江西省赣州市赣江源大道 26号</w:t>
      </w:r>
    </w:p>
    <w:p w14:paraId="3808C062">
      <w:pPr>
        <w:widowControl/>
        <w:tabs>
          <w:tab w:val="left" w:pos="709"/>
        </w:tabs>
        <w:adjustRightInd w:val="0"/>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客户服务热线：40084-96296</w:t>
      </w:r>
    </w:p>
    <w:p w14:paraId="4B237B49">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本产品的认购将通过销售机构的</w:t>
      </w:r>
      <w:r>
        <w:rPr>
          <w:rFonts w:ascii="仿宋_GB2312" w:hAnsi="宋体" w:cs="宋体"/>
          <w:bCs/>
          <w:color w:val="auto"/>
          <w:kern w:val="0"/>
          <w:szCs w:val="24"/>
          <w:highlight w:val="none"/>
        </w:rPr>
        <w:t>销售渠道</w:t>
      </w:r>
      <w:r>
        <w:rPr>
          <w:rFonts w:hint="eastAsia" w:ascii="仿宋_GB2312" w:hAnsi="宋体" w:cs="宋体"/>
          <w:bCs/>
          <w:color w:val="auto"/>
          <w:kern w:val="0"/>
          <w:szCs w:val="24"/>
          <w:highlight w:val="none"/>
        </w:rPr>
        <w:t>进行（</w:t>
      </w:r>
      <w:r>
        <w:rPr>
          <w:rFonts w:ascii="仿宋_GB2312" w:hAnsi="宋体" w:cs="宋体"/>
          <w:bCs/>
          <w:color w:val="auto"/>
          <w:kern w:val="0"/>
          <w:szCs w:val="24"/>
          <w:highlight w:val="none"/>
        </w:rPr>
        <w:t>具体以销售机构提供的方式为准)。本产品销售机构包括但不限于</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浙商银行股份有限公司、</w:t>
      </w:r>
      <w:r>
        <w:rPr>
          <w:rFonts w:hint="eastAsia" w:ascii="仿宋_GB2312" w:hAnsi="宋体" w:cs="宋体"/>
          <w:bCs/>
          <w:color w:val="auto"/>
          <w:kern w:val="0"/>
          <w:szCs w:val="24"/>
          <w:highlight w:val="none"/>
        </w:rPr>
        <w:t>中原银行股份有限公司</w:t>
      </w:r>
      <w:r>
        <w:rPr>
          <w:rFonts w:hint="eastAsia" w:ascii="仿宋_GB2312" w:hAnsi="宋体" w:cs="宋体"/>
          <w:bCs/>
          <w:color w:val="auto"/>
          <w:kern w:val="0"/>
          <w:szCs w:val="24"/>
          <w:highlight w:val="none"/>
          <w:lang w:eastAsia="zh-CN"/>
        </w:rPr>
        <w:t>、</w:t>
      </w:r>
      <w:r>
        <w:rPr>
          <w:rFonts w:hint="eastAsia" w:ascii="仿宋_GB2312" w:hAnsi="宋体" w:cs="宋体"/>
          <w:bCs/>
          <w:color w:val="auto"/>
          <w:kern w:val="0"/>
          <w:szCs w:val="24"/>
          <w:highlight w:val="none"/>
        </w:rPr>
        <w:t>赣州银行股份有限公司】等机构，如有</w:t>
      </w:r>
      <w:r>
        <w:rPr>
          <w:rFonts w:ascii="仿宋_GB2312" w:hAnsi="宋体" w:cs="宋体"/>
          <w:bCs/>
          <w:color w:val="auto"/>
          <w:kern w:val="0"/>
          <w:szCs w:val="24"/>
          <w:highlight w:val="none"/>
        </w:rPr>
        <w:t>变更以管理人</w:t>
      </w:r>
      <w:r>
        <w:rPr>
          <w:rFonts w:hint="eastAsia" w:ascii="仿宋_GB2312" w:hAnsi="宋体" w:cs="宋体"/>
          <w:bCs/>
          <w:color w:val="auto"/>
          <w:kern w:val="0"/>
          <w:szCs w:val="24"/>
          <w:highlight w:val="none"/>
        </w:rPr>
        <w:t>信息披露为准。</w:t>
      </w:r>
    </w:p>
    <w:p w14:paraId="78E00872">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w:t>
      </w:r>
      <w:r>
        <w:rPr>
          <w:rFonts w:ascii="仿宋_GB2312" w:hAnsi="宋体" w:cs="宋体"/>
          <w:bCs/>
          <w:color w:val="auto"/>
          <w:kern w:val="0"/>
          <w:szCs w:val="24"/>
          <w:highlight w:val="none"/>
        </w:rPr>
        <w:t>机构</w:t>
      </w:r>
      <w:r>
        <w:rPr>
          <w:rFonts w:hint="eastAsia" w:ascii="仿宋_GB2312" w:hAnsi="宋体" w:cs="宋体"/>
          <w:bCs/>
          <w:color w:val="auto"/>
          <w:kern w:val="0"/>
          <w:szCs w:val="24"/>
          <w:highlight w:val="none"/>
        </w:rPr>
        <w:t>主要职责：理财产品宣传推介；为</w:t>
      </w:r>
      <w:r>
        <w:rPr>
          <w:rFonts w:ascii="仿宋_GB2312" w:hAnsi="宋体" w:cs="宋体"/>
          <w:bCs/>
          <w:color w:val="auto"/>
          <w:kern w:val="0"/>
          <w:szCs w:val="24"/>
          <w:highlight w:val="none"/>
        </w:rPr>
        <w:t>投资者办理</w:t>
      </w:r>
      <w:r>
        <w:rPr>
          <w:rFonts w:hint="eastAsia" w:ascii="仿宋_GB2312" w:hAnsi="宋体" w:cs="宋体"/>
          <w:bCs/>
          <w:color w:val="auto"/>
          <w:kern w:val="0"/>
          <w:szCs w:val="24"/>
          <w:highlight w:val="none"/>
        </w:rPr>
        <w:t>理财产品份额认购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申购</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赎回服务；投资者风险承受能力评估和投资者适当性管理；</w:t>
      </w:r>
      <w:r>
        <w:rPr>
          <w:rFonts w:hint="eastAsia" w:ascii="仿宋_GB2312"/>
          <w:color w:val="auto"/>
          <w:highlight w:val="none"/>
        </w:rPr>
        <w:t>反洗钱、反恐怖融资、反扩散融资及非居民金融账户涉税信息尽职调查等</w:t>
      </w:r>
      <w:r>
        <w:rPr>
          <w:rFonts w:ascii="仿宋_GB2312"/>
          <w:color w:val="auto"/>
          <w:highlight w:val="none"/>
        </w:rPr>
        <w:t>；</w:t>
      </w:r>
      <w:r>
        <w:rPr>
          <w:rFonts w:hint="eastAsia" w:ascii="仿宋_GB2312"/>
          <w:color w:val="auto"/>
          <w:highlight w:val="none"/>
        </w:rPr>
        <w:t>协助投资者与管理人沟通</w:t>
      </w:r>
      <w:r>
        <w:rPr>
          <w:rFonts w:hint="eastAsia" w:ascii="仿宋_GB2312" w:hAnsi="宋体" w:cs="宋体"/>
          <w:bCs/>
          <w:color w:val="auto"/>
          <w:kern w:val="0"/>
          <w:szCs w:val="24"/>
          <w:highlight w:val="none"/>
        </w:rPr>
        <w:t>和客户维护等销售服务；国务院银行业监督管理机构规定的其他职责。</w:t>
      </w:r>
    </w:p>
    <w:p w14:paraId="0C8390B5">
      <w:pPr>
        <w:widowControl/>
        <w:tabs>
          <w:tab w:val="left" w:pos="709"/>
        </w:tabs>
        <w:adjustRightInd w:val="0"/>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★重要</w:t>
      </w:r>
      <w:r>
        <w:rPr>
          <w:rFonts w:ascii="仿宋_GB2312" w:hAnsi="宋体" w:cs="宋体"/>
          <w:b/>
          <w:bCs/>
          <w:color w:val="auto"/>
          <w:kern w:val="0"/>
          <w:szCs w:val="24"/>
          <w:highlight w:val="none"/>
        </w:rPr>
        <w:t>提示：</w:t>
      </w:r>
      <w:r>
        <w:rPr>
          <w:rFonts w:hint="eastAsia" w:ascii="仿宋_GB2312" w:hAnsi="宋体" w:cs="宋体"/>
          <w:b/>
          <w:bCs/>
          <w:color w:val="auto"/>
          <w:kern w:val="0"/>
          <w:szCs w:val="24"/>
          <w:highlight w:val="none"/>
        </w:rPr>
        <w:t>浙银理财委托托管机构托管理财产品或委托销售机构销售理财产品的，可能涉及委托浙商银行股份有限公司（以下简称“浙商银行”）担任理财产品的托管机构或销售机构。浙银理财是浙商银行控股的子公司，双方存在关联关系。如浙银理财委托浙商银行托管或销售本理财产品，将严格履行现行法律法规和监管规定所规定必须履行的程序。前述关联关系可能导致影响管理人独立决策的潜在风险。投资者确认已充分知悉前述关联关系，并接受理财产品由销售机构代理销售、托管机构托管。</w:t>
      </w:r>
    </w:p>
    <w:p w14:paraId="42A7ECBD">
      <w:pPr>
        <w:pStyle w:val="3"/>
        <w:widowControl/>
        <w:adjustRightInd w:val="0"/>
        <w:snapToGrid w:val="0"/>
        <w:ind w:firstLine="482"/>
        <w:rPr>
          <w:color w:val="auto"/>
          <w:highlight w:val="none"/>
        </w:rPr>
      </w:pPr>
      <w:r>
        <w:rPr>
          <w:color w:val="auto"/>
          <w:highlight w:val="none"/>
        </w:rPr>
        <w:t>募集期</w:t>
      </w:r>
    </w:p>
    <w:p w14:paraId="14B55D9C">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产品募集期内，投资者可多次对本产品认购、追加、</w:t>
      </w:r>
      <w:r>
        <w:rPr>
          <w:rFonts w:hint="eastAsia"/>
          <w:color w:val="auto"/>
          <w:highlight w:val="none"/>
        </w:rPr>
        <w:t>撤单</w:t>
      </w:r>
      <w:r>
        <w:rPr>
          <w:rFonts w:hint="eastAsia" w:ascii="仿宋_GB2312" w:hAnsi="宋体" w:cs="宋体"/>
          <w:bCs/>
          <w:color w:val="auto"/>
          <w:kern w:val="0"/>
          <w:szCs w:val="24"/>
          <w:highlight w:val="none"/>
        </w:rPr>
        <w:t>。如投资者认购成功，销售机构有权冻结投资者认购资金，</w:t>
      </w:r>
      <w:r>
        <w:rPr>
          <w:rFonts w:hint="eastAsia" w:ascii="仿宋_GB2312" w:hAnsi="宋体" w:cs="宋体"/>
          <w:b/>
          <w:color w:val="auto"/>
          <w:kern w:val="0"/>
          <w:szCs w:val="24"/>
          <w:highlight w:val="none"/>
        </w:rPr>
        <w:t>但募集期内认购资金是否计息以销售机构规则为准</w:t>
      </w:r>
      <w:r>
        <w:rPr>
          <w:rFonts w:hint="eastAsia" w:ascii="仿宋_GB2312" w:hAnsi="宋体" w:cs="宋体"/>
          <w:bCs/>
          <w:color w:val="auto"/>
          <w:kern w:val="0"/>
          <w:szCs w:val="24"/>
          <w:highlight w:val="none"/>
        </w:rPr>
        <w:t>。销售机构实际受理投资者成功提交的认购申请时间可能与说明书不一致，具体以销售机构信息为准。</w:t>
      </w:r>
    </w:p>
    <w:p w14:paraId="27F7D7D1">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本理财产品累计认购份额达到发行规模上限时，销售机构有权停止接受认购申请。管理人有权根据募集情况提前终止或延长产品募集期，</w:t>
      </w:r>
      <w:r>
        <w:rPr>
          <w:rFonts w:ascii="仿宋_GB2312" w:hAnsi="宋体" w:cs="宋体"/>
          <w:bCs/>
          <w:color w:val="auto"/>
          <w:kern w:val="0"/>
          <w:szCs w:val="24"/>
          <w:highlight w:val="none"/>
        </w:rPr>
        <w:t>如有变动</w:t>
      </w:r>
      <w:r>
        <w:rPr>
          <w:rFonts w:hint="eastAsia" w:ascii="仿宋_GB2312" w:hAnsi="宋体" w:cs="宋体"/>
          <w:bCs/>
          <w:color w:val="auto"/>
          <w:kern w:val="0"/>
          <w:szCs w:val="24"/>
          <w:highlight w:val="none"/>
        </w:rPr>
        <w:t>以管理人或销售机构公告为准。</w:t>
      </w:r>
    </w:p>
    <w:p w14:paraId="32DB31AF">
      <w:pPr>
        <w:pStyle w:val="3"/>
        <w:ind w:firstLine="482"/>
        <w:rPr>
          <w:color w:val="auto"/>
          <w:highlight w:val="none"/>
        </w:rPr>
      </w:pPr>
      <w:r>
        <w:rPr>
          <w:rFonts w:hint="eastAsia"/>
          <w:color w:val="auto"/>
          <w:highlight w:val="none"/>
        </w:rPr>
        <w:t>投资</w:t>
      </w:r>
      <w:r>
        <w:rPr>
          <w:color w:val="auto"/>
          <w:highlight w:val="none"/>
        </w:rPr>
        <w:t>冷静期</w:t>
      </w:r>
    </w:p>
    <w:p w14:paraId="35D643DB">
      <w:pPr>
        <w:autoSpaceDE w:val="0"/>
        <w:autoSpaceDN w:val="0"/>
        <w:adjustRightInd w:val="0"/>
        <w:snapToGrid w:val="0"/>
        <w:spacing w:line="360" w:lineRule="auto"/>
        <w:ind w:firstLine="482" w:firstLineChars="200"/>
        <w:rPr>
          <w:rFonts w:ascii="宋体" w:hAnsi="宋体"/>
          <w:b/>
          <w:color w:val="auto"/>
          <w:szCs w:val="24"/>
          <w:highlight w:val="none"/>
        </w:rPr>
      </w:pPr>
      <w:r>
        <w:rPr>
          <w:rFonts w:hint="eastAsia" w:ascii="宋体" w:hAnsi="宋体"/>
          <w:b/>
          <w:color w:val="auto"/>
          <w:szCs w:val="24"/>
          <w:highlight w:val="none"/>
        </w:rPr>
        <w:t>公募</w:t>
      </w:r>
      <w:r>
        <w:rPr>
          <w:rFonts w:ascii="宋体" w:hAnsi="宋体"/>
          <w:b/>
          <w:color w:val="auto"/>
          <w:szCs w:val="24"/>
          <w:highlight w:val="none"/>
        </w:rPr>
        <w:t>：</w:t>
      </w:r>
      <w:r>
        <w:rPr>
          <w:rFonts w:hint="eastAsia" w:ascii="宋体" w:hAnsi="宋体"/>
          <w:b/>
          <w:color w:val="auto"/>
          <w:szCs w:val="24"/>
          <w:highlight w:val="none"/>
        </w:rPr>
        <w:t>本产品为公募理财产品，无投资冷静期设置。</w:t>
      </w:r>
    </w:p>
    <w:p w14:paraId="3FC6DE6C">
      <w:pPr>
        <w:pStyle w:val="3"/>
        <w:widowControl/>
        <w:snapToGrid w:val="0"/>
        <w:ind w:firstLine="482"/>
        <w:rPr>
          <w:rStyle w:val="22"/>
          <w:rFonts w:ascii="仿宋_GB2312" w:hAnsi="宋体"/>
          <w:b w:val="0"/>
          <w:color w:val="auto"/>
          <w:highlight w:val="none"/>
        </w:rPr>
      </w:pPr>
      <w:r>
        <w:rPr>
          <w:rFonts w:hint="eastAsia" w:ascii="仿宋_GB2312" w:hAnsi="宋体" w:cs="宋体"/>
          <w:bCs/>
          <w:color w:val="auto"/>
          <w:kern w:val="0"/>
          <w:szCs w:val="24"/>
          <w:highlight w:val="none"/>
        </w:rPr>
        <w:t>募集对象</w:t>
      </w:r>
    </w:p>
    <w:p w14:paraId="41ECDF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本产品面向</w:t>
      </w:r>
      <w:r>
        <w:rPr>
          <w:rFonts w:hint="eastAsia" w:ascii="宋体" w:hAnsi="宋体"/>
          <w:color w:val="auto"/>
          <w:szCs w:val="24"/>
          <w:highlight w:val="none"/>
        </w:rPr>
        <w:t>【个人</w:t>
      </w:r>
      <w:r>
        <w:rPr>
          <w:rFonts w:hint="eastAsia" w:ascii="宋体" w:hAnsi="宋体"/>
          <w:color w:val="auto"/>
          <w:szCs w:val="24"/>
          <w:highlight w:val="none"/>
          <w:lang w:eastAsia="zh-CN"/>
        </w:rPr>
        <w:t>、</w:t>
      </w:r>
      <w:r>
        <w:rPr>
          <w:rFonts w:hint="eastAsia" w:ascii="宋体" w:hAnsi="宋体"/>
          <w:color w:val="auto"/>
          <w:szCs w:val="24"/>
          <w:highlight w:val="none"/>
          <w:lang w:val="en-US" w:eastAsia="zh-CN"/>
        </w:rPr>
        <w:t>机构</w:t>
      </w:r>
      <w:r>
        <w:rPr>
          <w:rFonts w:hint="eastAsia" w:ascii="宋体" w:hAnsi="宋体"/>
          <w:color w:val="auto"/>
          <w:szCs w:val="24"/>
          <w:highlight w:val="none"/>
        </w:rPr>
        <w:t>投资者】</w:t>
      </w:r>
      <w:r>
        <w:rPr>
          <w:rFonts w:hint="eastAsia" w:ascii="仿宋_GB2312" w:hAnsi="宋体" w:cs="宋体"/>
          <w:bCs/>
          <w:color w:val="auto"/>
          <w:kern w:val="0"/>
          <w:szCs w:val="24"/>
          <w:highlight w:val="none"/>
        </w:rPr>
        <w:t>销售，其中普通投资者须经销售机构风险承受能力评估评定为</w:t>
      </w:r>
      <w:r>
        <w:rPr>
          <w:rFonts w:hint="eastAsia" w:ascii="宋体" w:hAnsi="宋体"/>
          <w:color w:val="auto"/>
          <w:szCs w:val="24"/>
          <w:highlight w:val="none"/>
        </w:rPr>
        <w:t>【</w:t>
      </w:r>
      <w:r>
        <w:rPr>
          <w:rFonts w:hint="eastAsia" w:ascii="宋体" w:hAnsi="宋体"/>
          <w:b/>
          <w:bCs/>
          <w:color w:val="auto"/>
          <w:szCs w:val="24"/>
          <w:highlight w:val="none"/>
          <w:lang w:val="en-US" w:eastAsia="zh-CN"/>
        </w:rPr>
        <w:t>稳健型</w:t>
      </w:r>
      <w:r>
        <w:rPr>
          <w:rFonts w:hint="eastAsia" w:ascii="宋体" w:hAnsi="宋体"/>
          <w:color w:val="auto"/>
          <w:szCs w:val="24"/>
          <w:highlight w:val="none"/>
        </w:rPr>
        <w:t>】</w:t>
      </w:r>
      <w:r>
        <w:rPr>
          <w:rFonts w:hint="eastAsia" w:ascii="仿宋_GB2312" w:hAnsi="宋体" w:cs="宋体"/>
          <w:b/>
          <w:bCs/>
          <w:color w:val="auto"/>
          <w:kern w:val="0"/>
          <w:szCs w:val="24"/>
          <w:highlight w:val="none"/>
        </w:rPr>
        <w:t>及以上</w:t>
      </w:r>
      <w:r>
        <w:rPr>
          <w:rFonts w:hint="eastAsia" w:ascii="仿宋_GB2312" w:hAnsi="宋体" w:cs="宋体"/>
          <w:bCs/>
          <w:color w:val="auto"/>
          <w:kern w:val="0"/>
          <w:szCs w:val="24"/>
          <w:highlight w:val="none"/>
        </w:rPr>
        <w:t>（法律法规和有关规定禁止购买者除外）。如普通投资者首次通过销售机构购买产品管理人的理财产品，需通过销售机构进行风险承受能力评估后方可购买。</w:t>
      </w:r>
    </w:p>
    <w:p w14:paraId="5B504A87">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认购起点金额</w:t>
      </w:r>
    </w:p>
    <w:p w14:paraId="4C10F0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本理财产品初始份额净值为1.0000元/份。</w:t>
      </w:r>
    </w:p>
    <w:p w14:paraId="7DED6390">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【A份额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】元的整数倍增加。</w:t>
      </w:r>
    </w:p>
    <w:p w14:paraId="4FB3945A">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C</w:t>
      </w:r>
      <w:r>
        <w:rPr>
          <w:rFonts w:hint="eastAsia" w:ascii="仿宋_GB2312" w:hAnsi="宋体" w:cs="宋体"/>
          <w:bCs/>
          <w:color w:val="auto"/>
          <w:kern w:val="0"/>
          <w:szCs w:val="24"/>
          <w:highlight w:val="none"/>
        </w:rPr>
        <w:t>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】元的整数倍增加。</w:t>
      </w:r>
    </w:p>
    <w:p w14:paraId="2C0A96A4">
      <w:pPr>
        <w:widowControl/>
        <w:tabs>
          <w:tab w:val="left" w:pos="709"/>
        </w:tabs>
        <w:snapToGrid w:val="0"/>
        <w:spacing w:line="360" w:lineRule="auto"/>
        <w:ind w:firstLine="480" w:firstLineChars="2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H份额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投资者初始认购起点为【</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】元，超过部分以【</w:t>
      </w:r>
      <w:r>
        <w:rPr>
          <w:rFonts w:hint="eastAsia" w:ascii="仿宋_GB2312" w:hAnsi="宋体" w:cs="宋体"/>
          <w:bCs/>
          <w:color w:val="auto"/>
          <w:kern w:val="0"/>
          <w:szCs w:val="24"/>
          <w:highlight w:val="none"/>
          <w:lang w:val="en-US" w:eastAsia="zh-CN"/>
        </w:rPr>
        <w:t>1</w:t>
      </w:r>
      <w:r>
        <w:rPr>
          <w:rFonts w:hint="eastAsia" w:ascii="仿宋_GB2312" w:hAnsi="宋体" w:cs="宋体"/>
          <w:bCs/>
          <w:color w:val="auto"/>
          <w:kern w:val="0"/>
          <w:szCs w:val="24"/>
          <w:highlight w:val="none"/>
        </w:rPr>
        <w:t>】元的整数倍增加。</w:t>
      </w:r>
    </w:p>
    <w:p w14:paraId="66D3807E">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w:t>
      </w:r>
      <w:r>
        <w:rPr>
          <w:rFonts w:hint="eastAsia" w:ascii="仿宋_GB2312" w:hAnsi="宋体" w:cs="宋体"/>
          <w:bCs/>
          <w:color w:val="auto"/>
          <w:kern w:val="0"/>
          <w:szCs w:val="24"/>
          <w:highlight w:val="none"/>
        </w:rPr>
        <w:t>的</w:t>
      </w:r>
      <w:r>
        <w:rPr>
          <w:rFonts w:ascii="仿宋_GB2312" w:hAnsi="宋体" w:cs="宋体"/>
          <w:bCs/>
          <w:color w:val="auto"/>
          <w:kern w:val="0"/>
          <w:szCs w:val="24"/>
          <w:highlight w:val="none"/>
        </w:rPr>
        <w:t>计算</w:t>
      </w:r>
    </w:p>
    <w:p w14:paraId="2F4BC78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本产品采用金额认购方法，认购时计算方法如下：</w:t>
      </w:r>
      <w:r>
        <w:rPr>
          <w:rFonts w:ascii="仿宋_GB2312" w:hAnsi="宋体" w:cs="宋体"/>
          <w:bCs/>
          <w:color w:val="auto"/>
          <w:kern w:val="0"/>
          <w:szCs w:val="24"/>
          <w:highlight w:val="none"/>
        </w:rPr>
        <w:t xml:space="preserve"> </w:t>
      </w:r>
    </w:p>
    <w:p w14:paraId="27EE7F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净认购金额=认购金额/（1+认购费率）（认购</w:t>
      </w:r>
      <w:r>
        <w:rPr>
          <w:rFonts w:ascii="仿宋_GB2312" w:hAnsi="宋体" w:cs="宋体"/>
          <w:bCs/>
          <w:color w:val="auto"/>
          <w:kern w:val="0"/>
          <w:szCs w:val="24"/>
          <w:highlight w:val="none"/>
        </w:rPr>
        <w:t>费</w:t>
      </w:r>
      <w:r>
        <w:rPr>
          <w:rFonts w:hint="eastAsia" w:ascii="仿宋_GB2312" w:hAnsi="宋体" w:cs="宋体"/>
          <w:bCs/>
          <w:color w:val="auto"/>
          <w:kern w:val="0"/>
          <w:szCs w:val="24"/>
          <w:highlight w:val="none"/>
        </w:rPr>
        <w:t>率详见产品说明书</w:t>
      </w:r>
      <w:r>
        <w:rPr>
          <w:rFonts w:ascii="仿宋_GB2312" w:hAnsi="宋体" w:cs="宋体"/>
          <w:bCs/>
          <w:color w:val="auto"/>
          <w:kern w:val="0"/>
          <w:szCs w:val="24"/>
          <w:highlight w:val="none"/>
        </w:rPr>
        <w:t>关于费用</w:t>
      </w:r>
      <w:r>
        <w:rPr>
          <w:rFonts w:hint="eastAsia" w:ascii="仿宋_GB2312" w:hAnsi="宋体" w:cs="宋体"/>
          <w:bCs/>
          <w:color w:val="auto"/>
          <w:kern w:val="0"/>
          <w:szCs w:val="24"/>
          <w:highlight w:val="none"/>
        </w:rPr>
        <w:t>的说明）</w:t>
      </w:r>
    </w:p>
    <w:p w14:paraId="602E733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费用=</w:t>
      </w:r>
      <w:r>
        <w:rPr>
          <w:rFonts w:hint="eastAsia" w:ascii="仿宋_GB2312" w:hAnsi="宋体" w:cs="宋体"/>
          <w:bCs/>
          <w:color w:val="auto"/>
          <w:kern w:val="0"/>
          <w:szCs w:val="24"/>
          <w:highlight w:val="none"/>
        </w:rPr>
        <w:t>净认购金额×认购费率</w:t>
      </w:r>
    </w:p>
    <w:p w14:paraId="04564A5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w:t>
      </w:r>
      <w:r>
        <w:rPr>
          <w:rFonts w:ascii="仿宋_GB2312" w:hAnsi="宋体" w:cs="宋体"/>
          <w:bCs/>
          <w:color w:val="auto"/>
          <w:kern w:val="0"/>
          <w:szCs w:val="24"/>
          <w:highlight w:val="none"/>
        </w:rPr>
        <w:t>份额=净认购金额</w:t>
      </w:r>
      <w:r>
        <w:rPr>
          <w:rFonts w:hint="eastAsia" w:ascii="仿宋_GB2312" w:hAnsi="宋体" w:cs="宋体"/>
          <w:bCs/>
          <w:color w:val="auto"/>
          <w:kern w:val="0"/>
          <w:szCs w:val="24"/>
          <w:highlight w:val="none"/>
        </w:rPr>
        <w:t>/理财产品单位份额净值</w:t>
      </w:r>
    </w:p>
    <w:p w14:paraId="30D76D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认购份额以四舍五入的方法保留到小数点后两位。</w:t>
      </w:r>
    </w:p>
    <w:p w14:paraId="60993098">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认购确认：</w:t>
      </w:r>
    </w:p>
    <w:p w14:paraId="32EB3C0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投资者提交认购申请后，如管理人在认购</w:t>
      </w:r>
      <w:r>
        <w:rPr>
          <w:rFonts w:ascii="仿宋_GB2312" w:hAnsi="宋体" w:cs="宋体"/>
          <w:bCs/>
          <w:color w:val="auto"/>
          <w:kern w:val="0"/>
          <w:szCs w:val="24"/>
          <w:highlight w:val="none"/>
        </w:rPr>
        <w:t>确认日</w:t>
      </w:r>
      <w:r>
        <w:rPr>
          <w:rFonts w:hint="eastAsia" w:ascii="仿宋_GB2312" w:hAnsi="宋体" w:cs="宋体"/>
          <w:bCs/>
          <w:color w:val="auto"/>
          <w:kern w:val="0"/>
          <w:szCs w:val="24"/>
          <w:highlight w:val="none"/>
        </w:rPr>
        <w:t>成功登记投资者认购份额，则视为投资者的认购申请生效。销售机构成功登记投资者认购份额、投资者认购申请生效并不代表销售机构对该认购申请结果的成功确认或承诺，而仅代表其收到认购申请，认购申请结果是否成功以管理人确认为准。本产品认购确认日为本产品成立日。</w:t>
      </w:r>
    </w:p>
    <w:p w14:paraId="789B0869">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认购撤销</w:t>
      </w:r>
    </w:p>
    <w:p w14:paraId="08076F6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募集期内投资者可以撤销已提交的认购申请，具体请以销售机构规定为准。</w:t>
      </w:r>
    </w:p>
    <w:p w14:paraId="31694063">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投资者单户累计认购上限</w:t>
      </w:r>
    </w:p>
    <w:p w14:paraId="6DDFC42C">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A</w:t>
      </w:r>
      <w:r>
        <w:rPr>
          <w:rFonts w:hint="eastAsia" w:ascii="仿宋_GB2312" w:hAnsi="宋体" w:cs="宋体"/>
          <w:bCs/>
          <w:color w:val="auto"/>
          <w:kern w:val="0"/>
          <w:szCs w:val="24"/>
          <w:highlight w:val="none"/>
        </w:rPr>
        <w:t>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6DBFFF42">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C</w:t>
      </w:r>
      <w:r>
        <w:rPr>
          <w:rFonts w:hint="eastAsia" w:ascii="仿宋_GB2312" w:hAnsi="宋体" w:cs="宋体"/>
          <w:bCs/>
          <w:color w:val="auto"/>
          <w:kern w:val="0"/>
          <w:szCs w:val="24"/>
          <w:highlight w:val="none"/>
        </w:rPr>
        <w:t>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2B799133">
      <w:pPr>
        <w:widowControl/>
        <w:tabs>
          <w:tab w:val="left" w:pos="709"/>
        </w:tabs>
        <w:snapToGrid w:val="0"/>
        <w:spacing w:line="360" w:lineRule="auto"/>
        <w:ind w:left="720" w:leftChars="200" w:hanging="240" w:hangingChars="10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H份额</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投资者单户累计认购本理财产品份额合计金额不超过【</w:t>
      </w:r>
      <w:r>
        <w:rPr>
          <w:rFonts w:hint="eastAsia" w:ascii="仿宋_GB2312" w:hAnsi="宋体" w:cs="宋体"/>
          <w:bCs/>
          <w:color w:val="auto"/>
          <w:kern w:val="0"/>
          <w:szCs w:val="24"/>
          <w:highlight w:val="none"/>
          <w:lang w:val="en-US" w:eastAsia="zh-CN"/>
        </w:rPr>
        <w:t>/</w:t>
      </w:r>
      <w:r>
        <w:rPr>
          <w:rFonts w:hint="eastAsia" w:ascii="仿宋_GB2312" w:hAnsi="宋体" w:cs="宋体"/>
          <w:bCs/>
          <w:color w:val="auto"/>
          <w:kern w:val="0"/>
          <w:szCs w:val="24"/>
          <w:highlight w:val="none"/>
        </w:rPr>
        <w:t>】万元。</w:t>
      </w:r>
    </w:p>
    <w:p w14:paraId="1AC203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在产品运作过程中因收益分配、净值波动等被动超上限的情形除外。管理人有权调整投资者累计认购上限，并提前公告。如果投资者单户累计认购金额</w:t>
      </w:r>
      <w:r>
        <w:rPr>
          <w:rFonts w:ascii="仿宋_GB2312" w:hAnsi="宋体" w:cs="宋体"/>
          <w:bCs/>
          <w:color w:val="auto"/>
          <w:kern w:val="0"/>
          <w:szCs w:val="24"/>
          <w:highlight w:val="none"/>
        </w:rPr>
        <w:t>超</w:t>
      </w:r>
      <w:r>
        <w:rPr>
          <w:rFonts w:hint="eastAsia" w:ascii="仿宋_GB2312" w:hAnsi="宋体" w:cs="宋体"/>
          <w:bCs/>
          <w:color w:val="auto"/>
          <w:kern w:val="0"/>
          <w:szCs w:val="24"/>
          <w:highlight w:val="none"/>
        </w:rPr>
        <w:t>过上限</w:t>
      </w:r>
      <w:r>
        <w:rPr>
          <w:rFonts w:ascii="仿宋_GB2312" w:hAnsi="宋体" w:cs="宋体"/>
          <w:bCs/>
          <w:color w:val="auto"/>
          <w:kern w:val="0"/>
          <w:szCs w:val="24"/>
          <w:highlight w:val="none"/>
        </w:rPr>
        <w:t>，管理人</w:t>
      </w:r>
      <w:r>
        <w:rPr>
          <w:rFonts w:hint="eastAsia" w:ascii="仿宋_GB2312" w:hAnsi="宋体" w:cs="宋体"/>
          <w:bCs/>
          <w:color w:val="auto"/>
          <w:kern w:val="0"/>
          <w:szCs w:val="24"/>
          <w:highlight w:val="none"/>
        </w:rPr>
        <w:t>有权根据实际情况决定拒绝或受理。</w:t>
      </w:r>
    </w:p>
    <w:p w14:paraId="5433C35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bCs/>
          <w:color w:val="auto"/>
          <w:szCs w:val="24"/>
          <w:highlight w:val="none"/>
        </w:rPr>
        <w:t>单一投资者持有份额不得超过本产品总份额【</w:t>
      </w:r>
      <w:r>
        <w:rPr>
          <w:rFonts w:hint="eastAsia" w:ascii="宋体" w:hAnsi="宋体"/>
          <w:bCs/>
          <w:color w:val="auto"/>
          <w:szCs w:val="24"/>
          <w:highlight w:val="none"/>
          <w:lang w:val="en-US" w:eastAsia="zh-CN"/>
        </w:rPr>
        <w:t>50%</w:t>
      </w:r>
      <w:r>
        <w:rPr>
          <w:rFonts w:hint="eastAsia" w:ascii="宋体" w:hAnsi="宋体"/>
          <w:bCs/>
          <w:color w:val="auto"/>
          <w:szCs w:val="24"/>
          <w:highlight w:val="none"/>
        </w:rPr>
        <w:t>】，非因产品管理人主观因素导致突破上述比例限制的，在单一投资者持有比例降至【</w:t>
      </w:r>
      <w:r>
        <w:rPr>
          <w:rFonts w:hint="eastAsia" w:ascii="宋体" w:hAnsi="宋体"/>
          <w:bCs/>
          <w:color w:val="auto"/>
          <w:szCs w:val="24"/>
          <w:highlight w:val="none"/>
          <w:lang w:val="en-US" w:eastAsia="zh-CN"/>
        </w:rPr>
        <w:t>50%</w:t>
      </w:r>
      <w:r>
        <w:rPr>
          <w:rFonts w:hint="eastAsia" w:ascii="宋体" w:hAnsi="宋体"/>
          <w:bCs/>
          <w:color w:val="auto"/>
          <w:szCs w:val="24"/>
          <w:highlight w:val="none"/>
        </w:rPr>
        <w:t>】以下之前，产品管理人不得再接受投资者对本产品的认购。</w:t>
      </w:r>
    </w:p>
    <w:p w14:paraId="12651E85">
      <w:pPr>
        <w:pStyle w:val="3"/>
        <w:widowControl/>
        <w:snapToGrid w:val="0"/>
        <w:ind w:firstLine="482"/>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产品成立</w:t>
      </w:r>
    </w:p>
    <w:p w14:paraId="0C89CB3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1.募集期届满，募集总资金累计金额不低于产品最低成立规模时，产品成立。</w:t>
      </w:r>
    </w:p>
    <w:p w14:paraId="77F4DE1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s="宋体"/>
          <w:b/>
          <w:bCs/>
          <w:color w:val="auto"/>
          <w:kern w:val="0"/>
          <w:szCs w:val="24"/>
          <w:highlight w:val="none"/>
        </w:rPr>
        <w:t>本产品募集期限内，如募集总金额未达到产品最低成立规模，或国家宏观政策以及市场相关法规政策发生变化，或市场发生剧烈波动，或发生其他经管理人合理判断难以履行本理财产品说明书约定或可能导致投资者权益受损的情形，管理人有权利但无义务宣布本理财产品不成立</w:t>
      </w:r>
      <w:r>
        <w:rPr>
          <w:rFonts w:hint="eastAsia" w:ascii="仿宋_GB2312" w:hAnsi="宋体"/>
          <w:b/>
          <w:color w:val="auto"/>
          <w:kern w:val="0"/>
          <w:szCs w:val="24"/>
          <w:highlight w:val="none"/>
        </w:rPr>
        <w:t>，亦有权延长募集期或调整募集规模</w:t>
      </w:r>
      <w:r>
        <w:rPr>
          <w:rFonts w:hint="eastAsia" w:ascii="仿宋_GB2312" w:hAnsi="宋体" w:cs="宋体"/>
          <w:b/>
          <w:bCs/>
          <w:color w:val="auto"/>
          <w:kern w:val="0"/>
          <w:szCs w:val="24"/>
          <w:highlight w:val="none"/>
        </w:rPr>
        <w:t>。</w:t>
      </w:r>
    </w:p>
    <w:p w14:paraId="464EC1BC">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ascii="仿宋_GB2312" w:hAnsi="宋体" w:cs="宋体"/>
          <w:bCs/>
          <w:color w:val="auto"/>
          <w:kern w:val="0"/>
          <w:szCs w:val="24"/>
          <w:highlight w:val="none"/>
        </w:rPr>
        <w:t>（1）产品不成立：管理人决定理财产品不成立，将及时通过本产品说明书约定的</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披露产品不成立相关信息，并在不晚于产品原计划成立日后的3个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通过销售机构将理财投资本金退回投资者指定账户。</w:t>
      </w:r>
    </w:p>
    <w:p w14:paraId="40E1C518">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（2）</w:t>
      </w:r>
      <w:r>
        <w:rPr>
          <w:rFonts w:hint="eastAsia" w:ascii="仿宋_GB2312" w:hAnsi="宋体"/>
          <w:color w:val="auto"/>
          <w:kern w:val="0"/>
          <w:szCs w:val="24"/>
          <w:highlight w:val="none"/>
        </w:rPr>
        <w:t>延长产品募集期:</w:t>
      </w:r>
      <w:r>
        <w:rPr>
          <w:rFonts w:hint="eastAsia" w:ascii="仿宋_GB2312" w:hAnsi="宋体" w:cs="宋体"/>
          <w:bCs/>
          <w:color w:val="auto"/>
          <w:kern w:val="0"/>
          <w:szCs w:val="24"/>
          <w:highlight w:val="none"/>
        </w:rPr>
        <w:t>管理人决定延长产品募集期，</w:t>
      </w:r>
      <w:r>
        <w:rPr>
          <w:rFonts w:hint="eastAsia" w:ascii="仿宋_GB2312" w:hAnsi="宋体"/>
          <w:color w:val="auto"/>
          <w:kern w:val="0"/>
          <w:szCs w:val="24"/>
          <w:highlight w:val="none"/>
        </w:rPr>
        <w:t>将在理财</w:t>
      </w:r>
      <w:r>
        <w:rPr>
          <w:rFonts w:ascii="仿宋_GB2312" w:hAnsi="宋体"/>
          <w:color w:val="auto"/>
          <w:kern w:val="0"/>
          <w:szCs w:val="24"/>
          <w:highlight w:val="none"/>
        </w:rPr>
        <w:t>产品</w:t>
      </w:r>
      <w:r>
        <w:rPr>
          <w:rFonts w:hint="eastAsia" w:ascii="仿宋_GB2312" w:hAnsi="宋体"/>
          <w:color w:val="auto"/>
          <w:kern w:val="0"/>
          <w:szCs w:val="24"/>
          <w:highlight w:val="none"/>
        </w:rPr>
        <w:t>原定成立日前</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发布募集期延长公告。</w:t>
      </w:r>
    </w:p>
    <w:p w14:paraId="3335E113">
      <w:pPr>
        <w:widowControl/>
        <w:tabs>
          <w:tab w:val="left" w:pos="709"/>
        </w:tabs>
        <w:snapToGrid w:val="0"/>
        <w:spacing w:line="360" w:lineRule="auto"/>
        <w:ind w:firstLine="480" w:firstLineChars="200"/>
        <w:rPr>
          <w:rFonts w:ascii="仿宋_GB2312" w:hAnsi="宋体"/>
          <w:color w:val="auto"/>
          <w:kern w:val="0"/>
          <w:szCs w:val="24"/>
          <w:highlight w:val="none"/>
        </w:rPr>
      </w:pPr>
      <w:r>
        <w:rPr>
          <w:rFonts w:hint="eastAsia" w:ascii="仿宋_GB2312" w:hAnsi="宋体" w:cs="宋体"/>
          <w:bCs/>
          <w:color w:val="auto"/>
          <w:kern w:val="0"/>
          <w:szCs w:val="24"/>
          <w:highlight w:val="none"/>
        </w:rPr>
        <w:t>（3）</w:t>
      </w:r>
      <w:r>
        <w:rPr>
          <w:rFonts w:hint="eastAsia" w:ascii="仿宋_GB2312" w:hAnsi="宋体"/>
          <w:color w:val="auto"/>
          <w:kern w:val="0"/>
          <w:szCs w:val="24"/>
          <w:highlight w:val="none"/>
        </w:rPr>
        <w:t>调整产品募集规模：</w:t>
      </w:r>
      <w:r>
        <w:rPr>
          <w:rFonts w:hint="eastAsia" w:ascii="仿宋_GB2312" w:hAnsi="宋体" w:cs="宋体"/>
          <w:bCs/>
          <w:color w:val="auto"/>
          <w:kern w:val="0"/>
          <w:szCs w:val="24"/>
          <w:highlight w:val="none"/>
        </w:rPr>
        <w:t>管理人决定调整产品募集规模，</w:t>
      </w:r>
      <w:r>
        <w:rPr>
          <w:rFonts w:hint="eastAsia" w:ascii="仿宋_GB2312" w:hAnsi="宋体"/>
          <w:color w:val="auto"/>
          <w:kern w:val="0"/>
          <w:szCs w:val="24"/>
          <w:highlight w:val="none"/>
        </w:rPr>
        <w:t>将及时通过</w:t>
      </w:r>
      <w:r>
        <w:rPr>
          <w:rFonts w:hint="eastAsia" w:ascii="仿宋_GB2312" w:hAnsi="宋体" w:cs="宋体"/>
          <w:bCs/>
          <w:color w:val="auto"/>
          <w:kern w:val="0"/>
          <w:szCs w:val="24"/>
          <w:highlight w:val="none"/>
        </w:rPr>
        <w:t>本产品说明书约定</w:t>
      </w:r>
      <w:r>
        <w:rPr>
          <w:rFonts w:ascii="仿宋_GB2312" w:hAnsi="宋体" w:cs="宋体"/>
          <w:bCs/>
          <w:color w:val="auto"/>
          <w:kern w:val="0"/>
          <w:szCs w:val="24"/>
          <w:highlight w:val="none"/>
        </w:rPr>
        <w:t>方式</w:t>
      </w:r>
      <w:r>
        <w:rPr>
          <w:rFonts w:hint="eastAsia" w:ascii="仿宋_GB2312" w:hAnsi="宋体"/>
          <w:color w:val="auto"/>
          <w:kern w:val="0"/>
          <w:szCs w:val="24"/>
          <w:highlight w:val="none"/>
        </w:rPr>
        <w:t>发布产品募集规模调整公告。</w:t>
      </w:r>
    </w:p>
    <w:p w14:paraId="7DF22556">
      <w:pPr>
        <w:widowControl/>
        <w:jc w:val="left"/>
        <w:rPr>
          <w:rFonts w:ascii="仿宋_GB2312" w:hAnsi="宋体"/>
          <w:color w:val="auto"/>
          <w:kern w:val="0"/>
          <w:szCs w:val="24"/>
          <w:highlight w:val="none"/>
        </w:rPr>
      </w:pPr>
      <w:r>
        <w:rPr>
          <w:rFonts w:ascii="仿宋_GB2312" w:hAnsi="宋体"/>
          <w:color w:val="auto"/>
          <w:kern w:val="0"/>
          <w:szCs w:val="24"/>
          <w:highlight w:val="none"/>
        </w:rPr>
        <w:br w:type="page"/>
      </w:r>
    </w:p>
    <w:p w14:paraId="49962970">
      <w:pPr>
        <w:pStyle w:val="2"/>
        <w:rPr>
          <w:rFonts w:ascii="仿宋_GB2312" w:hAnsi="宋体"/>
          <w:color w:val="auto"/>
          <w:kern w:val="0"/>
          <w:szCs w:val="24"/>
          <w:highlight w:val="none"/>
        </w:rPr>
      </w:pPr>
      <w:r>
        <w:rPr>
          <w:rFonts w:hint="eastAsia"/>
          <w:color w:val="auto"/>
          <w:highlight w:val="none"/>
        </w:rPr>
        <w:t>理财产品的申购与赎回</w:t>
      </w:r>
    </w:p>
    <w:p w14:paraId="126D5E68">
      <w:pPr>
        <w:rPr>
          <w:color w:val="auto"/>
          <w:highlight w:val="none"/>
        </w:rPr>
      </w:pPr>
      <w:r>
        <w:rPr>
          <w:rFonts w:hint="eastAsia" w:ascii="仿宋_GB2312" w:hAnsi="宋体" w:cs="宋体"/>
          <w:bCs/>
          <w:color w:val="auto"/>
          <w:kern w:val="0"/>
          <w:szCs w:val="24"/>
          <w:highlight w:val="none"/>
        </w:rPr>
        <w:t>本理财产品为封闭式</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产品存续期不设置</w:t>
      </w:r>
      <w:r>
        <w:rPr>
          <w:rFonts w:ascii="仿宋_GB2312" w:hAnsi="宋体" w:cs="宋体"/>
          <w:bCs/>
          <w:color w:val="auto"/>
          <w:kern w:val="0"/>
          <w:szCs w:val="24"/>
          <w:highlight w:val="none"/>
        </w:rPr>
        <w:t>申购与赎回。</w:t>
      </w:r>
      <w:r>
        <w:rPr>
          <w:color w:val="auto"/>
          <w:highlight w:val="none"/>
        </w:rPr>
        <w:br w:type="page"/>
      </w:r>
    </w:p>
    <w:p w14:paraId="67C4DF8F">
      <w:pPr>
        <w:pStyle w:val="2"/>
        <w:rPr>
          <w:color w:val="auto"/>
          <w:highlight w:val="none"/>
        </w:rPr>
      </w:pPr>
      <w:r>
        <w:rPr>
          <w:rFonts w:hint="eastAsia"/>
          <w:color w:val="auto"/>
          <w:highlight w:val="none"/>
        </w:rPr>
        <w:t>理财产品的投资</w:t>
      </w:r>
    </w:p>
    <w:p w14:paraId="59FECF40">
      <w:pPr>
        <w:pStyle w:val="3"/>
        <w:ind w:firstLine="482"/>
        <w:rPr>
          <w:rFonts w:ascii="楷体_GB2312" w:hAnsi="宋体" w:eastAsia="楷体_GB2312" w:cs="宋体"/>
          <w:bCs/>
          <w:color w:val="auto"/>
          <w:kern w:val="0"/>
          <w:szCs w:val="24"/>
          <w:highlight w:val="none"/>
        </w:rPr>
      </w:pPr>
      <w:r>
        <w:rPr>
          <w:rFonts w:hint="eastAsia" w:ascii="楷体_GB2312" w:hAnsi="宋体" w:eastAsia="楷体_GB2312" w:cs="宋体"/>
          <w:bCs/>
          <w:color w:val="auto"/>
          <w:kern w:val="0"/>
          <w:szCs w:val="24"/>
          <w:highlight w:val="none"/>
        </w:rPr>
        <w:t>投资范围</w:t>
      </w:r>
    </w:p>
    <w:p w14:paraId="0F10AAD6">
      <w:pPr>
        <w:tabs>
          <w:tab w:val="left" w:pos="3119"/>
        </w:tabs>
        <w:autoSpaceDE w:val="0"/>
        <w:autoSpaceDN w:val="0"/>
        <w:spacing w:line="360" w:lineRule="auto"/>
        <w:ind w:right="36" w:rightChars="15" w:firstLine="480" w:firstLineChars="200"/>
        <w:rPr>
          <w:rFonts w:hint="eastAsia" w:ascii="仿宋_GB2312" w:hAnsi="宋体" w:cs="宋体"/>
          <w:bCs/>
          <w:color w:val="auto"/>
          <w:kern w:val="0"/>
          <w:szCs w:val="24"/>
          <w:highlight w:val="none"/>
          <w:u w:val="none"/>
          <w:lang w:val="en-US" w:eastAsia="zh-CN"/>
        </w:rPr>
      </w:pPr>
      <w:r>
        <w:rPr>
          <w:rFonts w:hint="eastAsia" w:ascii="仿宋_GB2312" w:hAnsi="宋体" w:cs="宋体"/>
          <w:bCs/>
          <w:color w:val="auto"/>
          <w:kern w:val="0"/>
          <w:szCs w:val="24"/>
          <w:highlight w:val="none"/>
          <w:u w:val="none"/>
          <w:lang w:val="en-US" w:eastAsia="zh-CN"/>
        </w:rPr>
        <w:t>本理财产品投资于境内外现金、银行存款、大额存单、同业存单、回购等货币市场工具及国债、地方政府债券、中央银行票据、政府支持机构债、金融债、非金融企业债务融资工具、公司债、企业债、可交换债券、可转换债券、资产支持票据、资产支持证券、次级债（包括二级资本债）、永续债、非标准化债权等债权类资产，优先股、上市公司股票、公募REITs、交易型开放式指数基金（ETF）、上市型开放式基金（LOF）等权益类资产，远期、国债期货、股指期货、商品期货、收益互换、利率互换、期权、债券借贷、结构性存款等商品和金融衍生品类资产，主要投向上述资产类别且符合监管机构要求的公募证券投资基金、信托计划、资产管理计划等资产管理产品以及国务院银行业监督管理机构认可的其他资产。</w:t>
      </w:r>
    </w:p>
    <w:p w14:paraId="0A4D3FCD">
      <w:pPr>
        <w:tabs>
          <w:tab w:val="left" w:pos="3119"/>
        </w:tabs>
        <w:autoSpaceDE w:val="0"/>
        <w:autoSpaceDN w:val="0"/>
        <w:spacing w:line="360" w:lineRule="auto"/>
        <w:ind w:right="36" w:rightChars="15" w:firstLine="480" w:firstLineChars="200"/>
        <w:rPr>
          <w:rFonts w:hint="default" w:ascii="仿宋_GB2312" w:hAnsi="宋体" w:cs="宋体"/>
          <w:bCs/>
          <w:color w:val="auto"/>
          <w:kern w:val="0"/>
          <w:szCs w:val="24"/>
          <w:highlight w:val="none"/>
          <w:u w:val="none"/>
          <w:lang w:val="en-US" w:eastAsia="zh-CN"/>
        </w:rPr>
      </w:pPr>
      <w:r>
        <w:rPr>
          <w:rFonts w:hint="default" w:ascii="仿宋_GB2312" w:hAnsi="宋体" w:cs="宋体"/>
          <w:bCs/>
          <w:color w:val="auto"/>
          <w:kern w:val="0"/>
          <w:szCs w:val="24"/>
          <w:highlight w:val="none"/>
          <w:u w:val="none"/>
          <w:lang w:val="en-US" w:eastAsia="zh-CN"/>
        </w:rPr>
        <w:t>本理财产品在投资于境外资产之前，管理人应获得相应的业务经营范围或投资交易资格。</w:t>
      </w:r>
    </w:p>
    <w:p w14:paraId="07A5D1C1">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w:t>
      </w:r>
      <w:r>
        <w:rPr>
          <w:rFonts w:ascii="仿宋_GB2312" w:hAnsi="宋体" w:cs="宋体"/>
          <w:bCs/>
          <w:color w:val="auto"/>
          <w:kern w:val="0"/>
          <w:szCs w:val="24"/>
          <w:highlight w:val="none"/>
          <w:u w:val="none"/>
        </w:rPr>
        <w:t>产品在投资</w:t>
      </w:r>
      <w:r>
        <w:rPr>
          <w:rFonts w:hint="eastAsia" w:ascii="仿宋_GB2312" w:hAnsi="宋体" w:cs="宋体"/>
          <w:bCs/>
          <w:color w:val="auto"/>
          <w:kern w:val="0"/>
          <w:szCs w:val="24"/>
          <w:highlight w:val="none"/>
          <w:u w:val="none"/>
        </w:rPr>
        <w:t>于</w:t>
      </w:r>
      <w:r>
        <w:rPr>
          <w:rFonts w:ascii="仿宋_GB2312" w:hAnsi="宋体" w:cs="宋体"/>
          <w:bCs/>
          <w:color w:val="auto"/>
          <w:kern w:val="0"/>
          <w:szCs w:val="24"/>
          <w:highlight w:val="none"/>
          <w:u w:val="none"/>
        </w:rPr>
        <w:t>商品及金融衍生品类资产之前，管理人应获得相应的业务经营范围或投资交易资格。</w:t>
      </w:r>
    </w:p>
    <w:p w14:paraId="2537D2DA">
      <w:pPr>
        <w:tabs>
          <w:tab w:val="left" w:pos="3119"/>
        </w:tabs>
        <w:autoSpaceDE w:val="0"/>
        <w:autoSpaceDN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本理财产品投资的资产范围须完全符合法律法规或监管规定，如因法律法规或监管规定的变更、修订或更新导致本理财产品投资某类资产受到限制或禁止的，该类资产将被视为从上述资产范围中自动剔除。</w:t>
      </w:r>
    </w:p>
    <w:p w14:paraId="61D43668">
      <w:pPr>
        <w:pStyle w:val="3"/>
        <w:ind w:firstLine="482"/>
        <w:rPr>
          <w:color w:val="auto"/>
          <w:highlight w:val="none"/>
        </w:rPr>
      </w:pPr>
      <w:r>
        <w:rPr>
          <w:rFonts w:hint="eastAsia"/>
          <w:color w:val="auto"/>
          <w:highlight w:val="none"/>
        </w:rPr>
        <w:t>投资比例</w:t>
      </w:r>
    </w:p>
    <w:p w14:paraId="355CB2B2">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1.本产品各投资资产占比如下：</w:t>
      </w:r>
    </w:p>
    <w:tbl>
      <w:tblPr>
        <w:tblStyle w:val="17"/>
        <w:tblW w:w="0" w:type="auto"/>
        <w:tblInd w:w="25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9"/>
        <w:gridCol w:w="1456"/>
      </w:tblGrid>
      <w:tr w14:paraId="1A347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9" w:type="dxa"/>
          </w:tcPr>
          <w:p w14:paraId="0790126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投资资产</w:t>
            </w:r>
          </w:p>
        </w:tc>
        <w:tc>
          <w:tcPr>
            <w:tcW w:w="1456" w:type="dxa"/>
          </w:tcPr>
          <w:p w14:paraId="5A8206E4">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投资比例</w:t>
            </w:r>
          </w:p>
        </w:tc>
      </w:tr>
      <w:tr w14:paraId="79B9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5E098B61">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债权类资产</w:t>
            </w:r>
          </w:p>
        </w:tc>
        <w:tc>
          <w:tcPr>
            <w:tcW w:w="1456" w:type="dxa"/>
          </w:tcPr>
          <w:p w14:paraId="5841E58B">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80%-100%</w:t>
            </w:r>
          </w:p>
        </w:tc>
      </w:tr>
      <w:tr w14:paraId="4CD8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tcPr>
          <w:p w14:paraId="789706CE">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权益类资产、商品及金融衍生品类资产</w:t>
            </w:r>
          </w:p>
        </w:tc>
        <w:tc>
          <w:tcPr>
            <w:tcW w:w="1456" w:type="dxa"/>
          </w:tcPr>
          <w:p w14:paraId="2040DEF1">
            <w:pPr>
              <w:widowControl/>
              <w:spacing w:line="360" w:lineRule="auto"/>
              <w:jc w:val="center"/>
              <w:rPr>
                <w:rFonts w:ascii="仿宋_GB2312" w:hAnsi="宋体" w:cs="宋体"/>
                <w:bCs/>
                <w:color w:val="auto"/>
                <w:kern w:val="0"/>
                <w:szCs w:val="24"/>
                <w:highlight w:val="none"/>
              </w:rPr>
            </w:pPr>
            <w:r>
              <w:rPr>
                <w:rFonts w:hint="eastAsia" w:ascii="仿宋_GB2312" w:hAnsi="宋体" w:cs="宋体"/>
                <w:bCs/>
                <w:color w:val="auto"/>
                <w:kern w:val="0"/>
                <w:szCs w:val="24"/>
                <w:highlight w:val="none"/>
              </w:rPr>
              <w:t>0-20%</w:t>
            </w:r>
          </w:p>
        </w:tc>
      </w:tr>
    </w:tbl>
    <w:p w14:paraId="27B0B0B9">
      <w:pPr>
        <w:widowControl/>
        <w:spacing w:line="360" w:lineRule="auto"/>
        <w:jc w:val="left"/>
        <w:rPr>
          <w:rFonts w:ascii="仿宋_GB2312" w:hAnsi="宋体" w:cs="宋体"/>
          <w:bCs/>
          <w:color w:val="auto"/>
          <w:kern w:val="0"/>
          <w:szCs w:val="24"/>
          <w:highlight w:val="none"/>
        </w:rPr>
      </w:pPr>
    </w:p>
    <w:p w14:paraId="05D8D711">
      <w:pPr>
        <w:widowControl/>
        <w:spacing w:line="360" w:lineRule="auto"/>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 xml:space="preserve"> </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管理人将在产品成立后一个月内使资产配置比例符合上述规定。</w:t>
      </w:r>
    </w:p>
    <w:p w14:paraId="7DE6C059">
      <w:pPr>
        <w:tabs>
          <w:tab w:val="left" w:pos="3119"/>
        </w:tabs>
        <w:autoSpaceDE w:val="0"/>
        <w:autoSpaceDN w:val="0"/>
        <w:adjustRightInd w:val="0"/>
        <w:snapToGrid w:val="0"/>
        <w:spacing w:line="360" w:lineRule="auto"/>
        <w:ind w:right="36" w:rightChars="15"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本产品投资于非标准化债权资产小于产品资产净值的【</w:t>
      </w:r>
      <w:r>
        <w:rPr>
          <w:rFonts w:hint="eastAsia" w:ascii="仿宋_GB2312" w:hAnsi="宋体" w:cs="宋体"/>
          <w:bCs/>
          <w:color w:val="auto"/>
          <w:kern w:val="0"/>
          <w:szCs w:val="24"/>
          <w:highlight w:val="none"/>
          <w:lang w:val="en-US" w:eastAsia="zh-CN"/>
        </w:rPr>
        <w:t>50</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，非标准化债权资产的到期日不得晚于本产品的到期日。</w:t>
      </w:r>
    </w:p>
    <w:p w14:paraId="29FC5CA1">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相关法律法规和监管部门对以上投资范围和配置比例有另行规定的，按照监管最新规定执行。如监管对投资比例无其他明确规定和要求的，由产品管理人与托管人协商确定计算方法。本产品存续期内非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导致产品投资突破上述比例限制，管理人将尽合理努力，在流动性受限资产可出售、可转让或者恢复交易的15个交易日内调整至规定区间。</w:t>
      </w:r>
    </w:p>
    <w:p w14:paraId="632B2AE2">
      <w:pPr>
        <w:pStyle w:val="3"/>
        <w:ind w:firstLine="482"/>
        <w:rPr>
          <w:rFonts w:ascii="仿宋_GB2312" w:hAnsi="宋体" w:cs="宋体"/>
          <w:bCs/>
          <w:color w:val="auto"/>
          <w:kern w:val="0"/>
          <w:szCs w:val="24"/>
          <w:highlight w:val="none"/>
        </w:rPr>
      </w:pPr>
      <w:r>
        <w:rPr>
          <w:rFonts w:hint="eastAsia"/>
          <w:color w:val="auto"/>
          <w:highlight w:val="none"/>
        </w:rPr>
        <w:t>投资限制</w:t>
      </w:r>
    </w:p>
    <w:p w14:paraId="1F1C673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投资限制中列示的资产品种不代表管理人的实际投向，本理财计划投资范围以“投资范围”章节表述为准。</w:t>
      </w:r>
    </w:p>
    <w:p w14:paraId="40E877A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1．投资集中度限制</w:t>
      </w:r>
    </w:p>
    <w:p w14:paraId="77C9EDCC">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（1）本理财计划持有单只证券或单只公募证券投资基金的市值不得超过该理财计划净资产的10%。</w:t>
      </w:r>
    </w:p>
    <w:p w14:paraId="0B43D106">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（2）管理人发行的全部公募理财计划持有单只证券或单只公募证券投资基金的市值，不得超过该证券市值或该公募证券投资基金市值的30%。</w:t>
      </w:r>
    </w:p>
    <w:p w14:paraId="49935545">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（3）管理人发行的全部理财计划持有单一上市公司发行的股票，不得超过该上市公司可流通股票的30%。</w:t>
      </w:r>
    </w:p>
    <w:p w14:paraId="04FC0B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（4）管理人发行的全部开放式公募理财计划投资单一上市公司发行的股票,不得超过该上市公司可流通股票的15%。国务院银行业监督管理机构另有规定的除外。</w:t>
      </w:r>
    </w:p>
    <w:p w14:paraId="52E4848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非因管理人主观因素导致突破前述比例限制的，管理人应当在流动性受限资产可出售、可转让或者恢复交易的10个交易日内调整至符合要求，国务院银行业监督管理机构规定的特殊情形除外。</w:t>
      </w:r>
    </w:p>
    <w:p w14:paraId="375AFF5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2．投资期限限制</w:t>
      </w:r>
    </w:p>
    <w:p w14:paraId="34A8814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本理财计划投资的非标准化债权类资产到期日不得晚于理财计划最近一次开放日。</w:t>
      </w:r>
    </w:p>
    <w:p w14:paraId="52059449">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3．投资杠杆率限制</w:t>
      </w:r>
    </w:p>
    <w:p w14:paraId="79B5B41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本理财计划的总资产不得超过净资产的【</w:t>
      </w:r>
      <w:r>
        <w:rPr>
          <w:rFonts w:hint="eastAsia" w:ascii="仿宋_GB2312" w:hAnsi="宋体" w:cs="宋体"/>
          <w:bCs/>
          <w:color w:val="auto"/>
          <w:kern w:val="0"/>
          <w:szCs w:val="24"/>
          <w:highlight w:val="none"/>
          <w:u w:val="none"/>
          <w:lang w:val="en-US" w:eastAsia="zh-CN"/>
        </w:rPr>
        <w:t>200</w:t>
      </w:r>
      <w:r>
        <w:rPr>
          <w:rFonts w:hint="eastAsia" w:ascii="仿宋_GB2312" w:hAnsi="宋体" w:cs="宋体"/>
          <w:bCs/>
          <w:color w:val="auto"/>
          <w:kern w:val="0"/>
          <w:szCs w:val="24"/>
          <w:highlight w:val="none"/>
          <w:u w:val="none"/>
        </w:rPr>
        <w:t>%】。</w:t>
      </w:r>
    </w:p>
    <w:p w14:paraId="2DE84B4D">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4．流动性限制</w:t>
      </w:r>
    </w:p>
    <w:p w14:paraId="092AF067">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（1）本理财计划直接投资于流动性受限资产的市值在开放日不得超过该理财计划资产净值的15%。</w:t>
      </w:r>
    </w:p>
    <w:p w14:paraId="031F8483">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（2）本理财计划还应满足以下限制【</w:t>
      </w:r>
      <w:r>
        <w:rPr>
          <w:rFonts w:hint="eastAsia" w:ascii="仿宋_GB2312" w:hAnsi="宋体" w:cs="宋体"/>
          <w:bCs/>
          <w:color w:val="auto"/>
          <w:kern w:val="0"/>
          <w:szCs w:val="24"/>
          <w:highlight w:val="none"/>
          <w:u w:val="none"/>
          <w:lang w:val="en-US" w:eastAsia="zh-CN"/>
        </w:rPr>
        <w:t>c</w:t>
      </w:r>
      <w:r>
        <w:rPr>
          <w:rFonts w:hint="eastAsia" w:ascii="仿宋_GB2312" w:hAnsi="宋体" w:cs="宋体"/>
          <w:bCs/>
          <w:color w:val="auto"/>
          <w:kern w:val="0"/>
          <w:szCs w:val="24"/>
          <w:highlight w:val="none"/>
          <w:u w:val="none"/>
        </w:rPr>
        <w:t>】</w:t>
      </w:r>
    </w:p>
    <w:p w14:paraId="54B28440">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a. 本理财计划应当持有不低于该理财计划资产净值5%的现金或者到期日在一年以内的国债、中央银行票据和政策性金融债券。</w:t>
      </w:r>
    </w:p>
    <w:p w14:paraId="3F56B95A">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b. 本理财计划应当在开放日及开放日前7个工作日内持有不低于该理财计划资产净值5%的现金或者到期日在一年以内的国债、中央银行票据和政策性金融债券。</w:t>
      </w:r>
    </w:p>
    <w:p w14:paraId="32138005">
      <w:pPr>
        <w:tabs>
          <w:tab w:val="left" w:pos="3119"/>
        </w:tabs>
        <w:autoSpaceDE w:val="0"/>
        <w:autoSpaceDN w:val="0"/>
        <w:adjustRightInd w:val="0"/>
        <w:spacing w:line="360" w:lineRule="auto"/>
        <w:ind w:right="36" w:rightChars="15" w:firstLine="482" w:firstLineChars="200"/>
        <w:contextualSpacing/>
        <w:rPr>
          <w:rFonts w:hint="eastAsia" w:ascii="仿宋_GB2312" w:hAnsi="宋体" w:cs="宋体"/>
          <w:bCs/>
          <w:color w:val="auto"/>
          <w:kern w:val="0"/>
          <w:szCs w:val="24"/>
          <w:highlight w:val="none"/>
          <w:u w:val="none"/>
        </w:rPr>
      </w:pPr>
      <w:r>
        <w:rPr>
          <w:rFonts w:hint="eastAsia" w:ascii="仿宋_GB2312" w:hAnsi="宋体" w:cs="宋体"/>
          <w:b/>
          <w:bCs w:val="0"/>
          <w:color w:val="auto"/>
          <w:kern w:val="0"/>
          <w:szCs w:val="24"/>
          <w:highlight w:val="none"/>
          <w:u w:val="none"/>
        </w:rPr>
        <w:t>c. 本理财计划投资不存在活跃交易市场，并且需要采用估值技术确定公允价值的资产比例可达到理财产品净资产50%以上。</w:t>
      </w:r>
      <w:r>
        <w:rPr>
          <w:rFonts w:hint="eastAsia" w:ascii="仿宋_GB2312" w:hAnsi="宋体" w:cs="宋体"/>
          <w:bCs/>
          <w:color w:val="auto"/>
          <w:kern w:val="0"/>
          <w:szCs w:val="24"/>
          <w:highlight w:val="none"/>
          <w:u w:val="none"/>
        </w:rPr>
        <w:t xml:space="preserve">                   </w:t>
      </w:r>
    </w:p>
    <w:p w14:paraId="24521202">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（3）在开放日前一工作日内，本理财计划7个工作日可变现资产的可变现价值应当不低于该理财计划资产净值的10%。</w:t>
      </w:r>
    </w:p>
    <w:p w14:paraId="4159623B">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5．其他投资限制</w:t>
      </w:r>
    </w:p>
    <w:p w14:paraId="13EDF554">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理财计划不得直接投资于信贷资产，不得直接或间接投资于浙商银行信贷资产，不得直接或间接投资于浙商银行或其他银行业金融机构发行的理财产品，不得直接或间接投资于浙商银行发行的次级档信贷资产支持证券，不得直接或间接投资于未上市公司股权及其受（收）益权。</w:t>
      </w:r>
    </w:p>
    <w:p w14:paraId="4DAA4FDF">
      <w:pPr>
        <w:tabs>
          <w:tab w:val="left" w:pos="3119"/>
        </w:tabs>
        <w:autoSpaceDE w:val="0"/>
        <w:autoSpaceDN w:val="0"/>
        <w:adjustRightInd w:val="0"/>
        <w:spacing w:line="360" w:lineRule="auto"/>
        <w:ind w:right="36" w:rightChars="15" w:firstLine="480" w:firstLineChars="200"/>
        <w:contextualSpacing/>
        <w:rPr>
          <w:rFonts w:hint="eastAsia" w:ascii="仿宋_GB2312" w:hAnsi="宋体" w:cs="宋体"/>
          <w:bCs/>
          <w:color w:val="auto"/>
          <w:kern w:val="0"/>
          <w:szCs w:val="24"/>
          <w:highlight w:val="none"/>
          <w:u w:val="single"/>
        </w:rPr>
      </w:pPr>
      <w:r>
        <w:rPr>
          <w:rFonts w:hint="eastAsia" w:ascii="仿宋_GB2312" w:hAnsi="宋体" w:cs="宋体"/>
          <w:bCs/>
          <w:color w:val="auto"/>
          <w:kern w:val="0"/>
          <w:szCs w:val="24"/>
          <w:highlight w:val="none"/>
          <w:u w:val="none"/>
        </w:rPr>
        <w:t>以上限制，如监管有最新规定的，将参照监管规定调整。</w:t>
      </w:r>
    </w:p>
    <w:p w14:paraId="7DA8E16B">
      <w:pPr>
        <w:tabs>
          <w:tab w:val="left" w:pos="3119"/>
        </w:tabs>
        <w:autoSpaceDE w:val="0"/>
        <w:autoSpaceDN w:val="0"/>
        <w:adjustRightInd w:val="0"/>
        <w:spacing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本产品存续期内非</w:t>
      </w:r>
      <w:r>
        <w:rPr>
          <w:rFonts w:ascii="仿宋_GB2312" w:hAnsi="宋体" w:cs="宋体"/>
          <w:bCs/>
          <w:color w:val="auto"/>
          <w:kern w:val="0"/>
          <w:szCs w:val="24"/>
          <w:highlight w:val="none"/>
        </w:rPr>
        <w:t>因</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管理人主</w:t>
      </w:r>
      <w:r>
        <w:rPr>
          <w:rFonts w:hint="eastAsia" w:ascii="仿宋_GB2312" w:hAnsi="宋体" w:cs="宋体"/>
          <w:bCs/>
          <w:color w:val="auto"/>
          <w:kern w:val="0"/>
          <w:szCs w:val="24"/>
          <w:highlight w:val="none"/>
        </w:rPr>
        <w:t>观</w:t>
      </w:r>
      <w:r>
        <w:rPr>
          <w:rFonts w:ascii="仿宋_GB2312" w:hAnsi="宋体" w:cs="宋体"/>
          <w:bCs/>
          <w:color w:val="auto"/>
          <w:kern w:val="0"/>
          <w:szCs w:val="24"/>
          <w:highlight w:val="none"/>
        </w:rPr>
        <w:t>因素</w:t>
      </w:r>
      <w:r>
        <w:rPr>
          <w:rFonts w:hint="eastAsia" w:ascii="仿宋_GB2312" w:hAnsi="宋体" w:cs="宋体"/>
          <w:bCs/>
          <w:color w:val="auto"/>
          <w:kern w:val="0"/>
          <w:szCs w:val="24"/>
          <w:highlight w:val="none"/>
        </w:rPr>
        <w:t>导致产品投资突破上述限制的，管理人将尽合理努力，在15个交易日内调整至符合要求。</w:t>
      </w:r>
    </w:p>
    <w:p w14:paraId="04A11B1B">
      <w:pPr>
        <w:pStyle w:val="3"/>
        <w:ind w:firstLine="482"/>
        <w:rPr>
          <w:color w:val="auto"/>
          <w:highlight w:val="none"/>
        </w:rPr>
      </w:pPr>
      <w:r>
        <w:rPr>
          <w:rFonts w:hint="eastAsia"/>
          <w:color w:val="auto"/>
          <w:highlight w:val="none"/>
        </w:rPr>
        <w:t>投资范围调整</w:t>
      </w:r>
    </w:p>
    <w:p w14:paraId="64D3DD1F">
      <w:pPr>
        <w:tabs>
          <w:tab w:val="left" w:pos="3119"/>
        </w:tabs>
        <w:autoSpaceDE w:val="0"/>
        <w:autoSpaceDN w:val="0"/>
        <w:adjustRightInd w:val="0"/>
        <w:snapToGrid w:val="0"/>
        <w:spacing w:line="360" w:lineRule="auto"/>
        <w:ind w:right="36" w:rightChars="15"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在不违反法律、法规、规章和监管规定的强制性规范的前提下，管理人有权根据市场情况，对本产品的投资范围、投资资产种类或投资比例等进行调整，在调整前将通过本产品说明书约定的信息披露渠道进行信息披露。</w:t>
      </w:r>
      <w:r>
        <w:rPr>
          <w:rFonts w:hint="eastAsia" w:ascii="仿宋_GB2312" w:hAnsi="宋体" w:cs="宋体"/>
          <w:color w:val="auto"/>
          <w:kern w:val="0"/>
          <w:szCs w:val="24"/>
          <w:highlight w:val="none"/>
        </w:rPr>
        <w:t>上述情况下管理人可能开放赎回，具体以信息披露内容为准。投资者不同意信息披露内容的，可在信息披露中约定的时间内赎回本产品。如投资者未在上述约定时间内赎回本产品，则视为投资者对上述调整无异议并同意继续持有本产品。除高风险类型的理财产品超出比例范围投资较低风险资产的情况外，管理人应提前取得投资者书面同意，并履行登记备案等法律法规以及金融监督管理部门规定的程序。</w:t>
      </w:r>
    </w:p>
    <w:p w14:paraId="7F09F355">
      <w:pPr>
        <w:pStyle w:val="3"/>
        <w:ind w:firstLine="482"/>
        <w:rPr>
          <w:color w:val="auto"/>
          <w:highlight w:val="none"/>
        </w:rPr>
      </w:pPr>
      <w:r>
        <w:rPr>
          <w:rFonts w:hint="eastAsia"/>
          <w:color w:val="auto"/>
          <w:highlight w:val="none"/>
        </w:rPr>
        <w:t>投资策略</w:t>
      </w:r>
    </w:p>
    <w:p w14:paraId="7F40444F">
      <w:pPr>
        <w:tabs>
          <w:tab w:val="left" w:pos="3119"/>
        </w:tabs>
        <w:autoSpaceDE w:val="0"/>
        <w:autoSpaceDN w:val="0"/>
        <w:adjustRightInd w:val="0"/>
        <w:snapToGrid w:val="0"/>
        <w:spacing w:line="360" w:lineRule="auto"/>
        <w:ind w:right="36" w:rightChars="15" w:firstLine="480" w:firstLineChars="200"/>
        <w:rPr>
          <w:rFonts w:hint="eastAsia" w:ascii="仿宋_GB2312" w:hAnsi="宋体" w:cs="宋体"/>
          <w:bCs/>
          <w:color w:val="auto"/>
          <w:kern w:val="0"/>
          <w:szCs w:val="24"/>
          <w:highlight w:val="none"/>
          <w:u w:val="none"/>
        </w:rPr>
      </w:pPr>
      <w:r>
        <w:rPr>
          <w:rFonts w:hint="eastAsia" w:ascii="仿宋_GB2312" w:hAnsi="宋体" w:cs="宋体"/>
          <w:bCs/>
          <w:color w:val="auto"/>
          <w:kern w:val="0"/>
          <w:szCs w:val="24"/>
          <w:highlight w:val="none"/>
          <w:u w:val="none"/>
        </w:rPr>
        <w:t>本系列产品本着稳健投资的理念，通过对宏观经济的研究，在较低风险资产间进行合理配置，在有效控制信用风险的基础上尽可能提高投资组合收益。理财产品主要投资于各类银行存款、同业存单、回购等货币市场工具以及债券、非标准化债权等债权类资产，以及优先股等权益类资产，同时根据宏观经济、货币政策和信用环境等因素，制定多种投资策略。在投资组合构建和调整的过程中，根据投资品种的变化，如收益率、流动性状况变化或品种到期等，不定期的对组合进行优化调整。</w:t>
      </w:r>
    </w:p>
    <w:p w14:paraId="1EAB430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本产品可在符合监管规定的前提下适当运用杠杆原理，通过回购操作，增强投资组合的收益水平,但本理财产品总资产不超过净资产的200%。</w:t>
      </w:r>
    </w:p>
    <w:p w14:paraId="0C0CFD44">
      <w:pPr>
        <w:pStyle w:val="3"/>
        <w:ind w:firstLine="482"/>
        <w:rPr>
          <w:color w:val="auto"/>
          <w:highlight w:val="none"/>
        </w:rPr>
      </w:pPr>
      <w:r>
        <w:rPr>
          <w:rFonts w:hint="eastAsia"/>
          <w:color w:val="auto"/>
          <w:highlight w:val="none"/>
        </w:rPr>
        <w:t>投资</w:t>
      </w:r>
      <w:r>
        <w:rPr>
          <w:color w:val="auto"/>
          <w:highlight w:val="none"/>
        </w:rPr>
        <w:t>合作机构</w:t>
      </w:r>
    </w:p>
    <w:p w14:paraId="6CEA082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合作机构包括但不限于理财产品所投资资产管理产品的发行机构、根据合同约定从事理财产品受托投资的机构、与理财产品投资管理相关的投资顾问等。本理财产品的投资合作机构主要职责为对受托资金进行投资和管理，根据合同约定从事受托投资或提供投资顾问等服务，具体职责以管理人与投资合作机构签署的合同为准。</w:t>
      </w:r>
    </w:p>
    <w:p w14:paraId="7595945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本理财产品的投资合作机构均为具有专业资质并受国家金融监督管理总局监管的金融机构或国务院银行业监督管理机构认可的其他机构。本理财产品成立时暂无特定投资合作机构，具体以后续信息披露为准。</w:t>
      </w:r>
    </w:p>
    <w:p w14:paraId="2F68F7B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p>
    <w:p w14:paraId="54889E0D">
      <w:pPr>
        <w:pStyle w:val="2"/>
        <w:numPr>
          <w:ilvl w:val="0"/>
          <w:numId w:val="0"/>
        </w:numPr>
        <w:jc w:val="both"/>
        <w:rPr>
          <w:color w:val="auto"/>
          <w:highlight w:val="none"/>
        </w:rPr>
      </w:pPr>
      <w:r>
        <w:rPr>
          <w:rFonts w:hint="eastAsia" w:ascii="仿宋_GB2312" w:hAnsi="宋体" w:eastAsia="仿宋_GB2312" w:cs="宋体"/>
          <w:bCs/>
          <w:color w:val="auto"/>
          <w:kern w:val="0"/>
          <w:sz w:val="24"/>
          <w:szCs w:val="24"/>
          <w:highlight w:val="none"/>
        </w:rPr>
        <w:br w:type="page"/>
      </w:r>
    </w:p>
    <w:p w14:paraId="62202B2A">
      <w:pPr>
        <w:pStyle w:val="2"/>
        <w:tabs>
          <w:tab w:val="left" w:pos="3119"/>
          <w:tab w:val="clear" w:pos="0"/>
        </w:tabs>
        <w:autoSpaceDE w:val="0"/>
        <w:autoSpaceDN w:val="0"/>
        <w:adjustRightInd w:val="0"/>
        <w:spacing w:before="240"/>
        <w:ind w:right="36" w:rightChars="15" w:firstLine="560"/>
        <w:contextualSpacing/>
        <w:rPr>
          <w:color w:val="auto"/>
          <w:highlight w:val="none"/>
        </w:rPr>
      </w:pPr>
      <w:r>
        <w:rPr>
          <w:rFonts w:hint="eastAsia"/>
          <w:color w:val="auto"/>
          <w:highlight w:val="none"/>
        </w:rPr>
        <w:t>理财产品的托管</w:t>
      </w:r>
    </w:p>
    <w:p w14:paraId="55D3BBE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u w:val="none"/>
        </w:rPr>
      </w:pPr>
      <w:r>
        <w:rPr>
          <w:rFonts w:hint="eastAsia" w:ascii="仿宋_GB2312" w:hAnsi="宋体" w:cs="宋体"/>
          <w:bCs/>
          <w:color w:val="auto"/>
          <w:kern w:val="0"/>
          <w:szCs w:val="24"/>
          <w:highlight w:val="none"/>
        </w:rPr>
        <w:t>本理财</w:t>
      </w:r>
      <w:r>
        <w:rPr>
          <w:rFonts w:hint="eastAsia" w:ascii="仿宋_GB2312" w:hAnsi="宋体" w:cs="宋体"/>
          <w:bCs/>
          <w:color w:val="auto"/>
          <w:kern w:val="0"/>
          <w:szCs w:val="24"/>
          <w:highlight w:val="none"/>
          <w:u w:val="none"/>
        </w:rPr>
        <w:t>产品托管人为</w:t>
      </w:r>
      <w:r>
        <w:rPr>
          <w:rFonts w:hint="eastAsia" w:ascii="仿宋_GB2312" w:hAnsi="宋体" w:cs="宋体"/>
          <w:bCs/>
          <w:color w:val="auto"/>
          <w:kern w:val="0"/>
          <w:szCs w:val="24"/>
          <w:highlight w:val="none"/>
          <w:u w:val="none"/>
          <w:lang w:val="en-US" w:eastAsia="zh-CN"/>
        </w:rPr>
        <w:t>浙商银行股份有限公司</w:t>
      </w:r>
      <w:r>
        <w:rPr>
          <w:rFonts w:hint="eastAsia" w:ascii="仿宋_GB2312" w:hAnsi="宋体" w:cs="宋体"/>
          <w:bCs/>
          <w:color w:val="auto"/>
          <w:kern w:val="0"/>
          <w:szCs w:val="24"/>
          <w:highlight w:val="none"/>
          <w:u w:val="none"/>
        </w:rPr>
        <w:t>。托管人【是】产品管理人的关联方。</w:t>
      </w:r>
    </w:p>
    <w:p w14:paraId="354144EB">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u w:val="none"/>
          <w:lang w:val="en-US" w:eastAsia="zh-CN"/>
        </w:rPr>
        <w:t>浙商银行</w:t>
      </w:r>
      <w:r>
        <w:rPr>
          <w:rFonts w:hint="eastAsia" w:ascii="仿宋_GB2312" w:hAnsi="宋体" w:cs="宋体"/>
          <w:bCs/>
          <w:color w:val="auto"/>
          <w:kern w:val="0"/>
          <w:szCs w:val="24"/>
          <w:highlight w:val="none"/>
          <w:u w:val="none"/>
        </w:rPr>
        <w:t>具备监管机</w:t>
      </w:r>
      <w:r>
        <w:rPr>
          <w:rFonts w:hint="eastAsia" w:ascii="仿宋_GB2312" w:hAnsi="宋体" w:cs="宋体"/>
          <w:bCs/>
          <w:color w:val="auto"/>
          <w:kern w:val="0"/>
          <w:szCs w:val="24"/>
          <w:highlight w:val="none"/>
        </w:rPr>
        <w:t>构认可的理财产品托管资格，主要履行职责包括：</w:t>
      </w:r>
    </w:p>
    <w:p w14:paraId="1FF8EFC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（一）安全保管理财产品财产；</w:t>
      </w:r>
    </w:p>
    <w:p w14:paraId="5984636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（二）确保托管资金安全，保证其托管的理财产品财产与其自有资产相互独立；为每只理财产品开设独立的托管账户，不同托管账户中的资产应当相互独立；</w:t>
      </w:r>
    </w:p>
    <w:p w14:paraId="7A53BD81">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（三）按照托管协议约定和管理人的投资指令，及时办理清算、交割事宜；</w:t>
      </w:r>
    </w:p>
    <w:p w14:paraId="213771B8">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（四）建立与管理人的对账机制，复核、审查理财产品资金头寸、资产账目、资产净值、认购和赎回价格等数据，及时核查认购、赎回以及投资资金的支付和到账情况；</w:t>
      </w:r>
    </w:p>
    <w:p w14:paraId="67A5485A">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（五）监督理财产品投资运作，发现理财产品违反法律、行政法规、规章规定或合同约定进行投资的，应当拒绝执行，及时通知管理人并报告银行业监督管理机构；</w:t>
      </w:r>
    </w:p>
    <w:p w14:paraId="4D925B10">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六）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32AEB4D">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（七）理财托管业务活动的记录、账册、报表和其他相关资料保存</w:t>
      </w:r>
      <w:r>
        <w:rPr>
          <w:rFonts w:ascii="仿宋_GB2312" w:hAnsi="宋体" w:cs="宋体"/>
          <w:bCs/>
          <w:color w:val="auto"/>
          <w:kern w:val="0"/>
          <w:szCs w:val="24"/>
          <w:highlight w:val="none"/>
        </w:rPr>
        <w:t>15年以上；</w:t>
      </w:r>
    </w:p>
    <w:p w14:paraId="65410204">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（八）对理财产品投资信息和相关资料承担保密责任，除法律、行政法规、规章规定、审计要求或者合同约定外，不得向任何机构或者个人提供相关信息和资料；</w:t>
      </w:r>
    </w:p>
    <w:p w14:paraId="373631F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（九）托管人的董事、监事、高级管理人员和其他托管业务人员不得有《商业银行理财业务监督管理办法》第二十四条第二款所列行为；</w:t>
      </w:r>
    </w:p>
    <w:p w14:paraId="15BD4FA7">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配合提供托管人相应关联方信息；</w:t>
      </w:r>
    </w:p>
    <w:p w14:paraId="76F12026">
      <w:pPr>
        <w:tabs>
          <w:tab w:val="left" w:pos="3119"/>
        </w:tabs>
        <w:autoSpaceDE w:val="0"/>
        <w:autoSpaceDN w:val="0"/>
        <w:adjustRightInd w:val="0"/>
        <w:spacing w:before="240" w:line="360" w:lineRule="auto"/>
        <w:ind w:right="36" w:rightChars="15" w:firstLine="480" w:firstLineChars="200"/>
        <w:contextualSpacing/>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（十</w:t>
      </w:r>
      <w:r>
        <w:rPr>
          <w:rFonts w:ascii="仿宋_GB2312" w:hAnsi="宋体" w:cs="宋体"/>
          <w:bCs/>
          <w:color w:val="auto"/>
          <w:kern w:val="0"/>
          <w:szCs w:val="24"/>
          <w:highlight w:val="none"/>
        </w:rPr>
        <w:t>一）</w:t>
      </w:r>
      <w:r>
        <w:rPr>
          <w:rFonts w:hint="eastAsia" w:ascii="仿宋_GB2312" w:hAnsi="宋体" w:cs="宋体"/>
          <w:bCs/>
          <w:color w:val="auto"/>
          <w:kern w:val="0"/>
          <w:szCs w:val="24"/>
          <w:highlight w:val="none"/>
        </w:rPr>
        <w:t>国务院银行业监督管理机构规定的其他职责。</w:t>
      </w:r>
    </w:p>
    <w:p w14:paraId="4212535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66025D98">
      <w:pPr>
        <w:pStyle w:val="2"/>
        <w:rPr>
          <w:color w:val="auto"/>
          <w:highlight w:val="none"/>
        </w:rPr>
      </w:pPr>
      <w:r>
        <w:rPr>
          <w:rFonts w:hint="eastAsia"/>
          <w:color w:val="auto"/>
          <w:highlight w:val="none"/>
        </w:rPr>
        <w:t>理财产品资产估值</w:t>
      </w:r>
    </w:p>
    <w:p w14:paraId="56D7DDE2">
      <w:pPr>
        <w:pStyle w:val="3"/>
        <w:ind w:firstLine="482"/>
        <w:rPr>
          <w:color w:val="auto"/>
          <w:highlight w:val="none"/>
        </w:rPr>
      </w:pPr>
      <w:r>
        <w:rPr>
          <w:rFonts w:hint="eastAsia"/>
          <w:color w:val="auto"/>
          <w:highlight w:val="none"/>
        </w:rPr>
        <w:t>估值日</w:t>
      </w:r>
    </w:p>
    <w:p w14:paraId="4DF030B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本理财产品估值日为每个</w:t>
      </w:r>
      <w:r>
        <w:rPr>
          <w:rFonts w:hint="eastAsia" w:ascii="仿宋_GB2312" w:hAnsi="宋体" w:cs="宋体"/>
          <w:bCs/>
          <w:color w:val="auto"/>
          <w:kern w:val="0"/>
          <w:szCs w:val="24"/>
          <w:highlight w:val="none"/>
        </w:rPr>
        <w:t>工作日</w:t>
      </w:r>
      <w:r>
        <w:rPr>
          <w:rFonts w:hint="eastAsia" w:ascii="仿宋_GB2312" w:hAnsi="宋体" w:cs="宋体"/>
          <w:bCs/>
          <w:color w:val="auto"/>
          <w:spacing w:val="-4"/>
          <w:kern w:val="0"/>
          <w:szCs w:val="24"/>
          <w:highlight w:val="none"/>
        </w:rPr>
        <w:t>，产品到期日为最后一个估值日。</w:t>
      </w:r>
    </w:p>
    <w:p w14:paraId="3BAFC579">
      <w:pPr>
        <w:pStyle w:val="3"/>
        <w:ind w:firstLine="482"/>
        <w:rPr>
          <w:color w:val="auto"/>
          <w:highlight w:val="none"/>
        </w:rPr>
      </w:pPr>
      <w:r>
        <w:rPr>
          <w:rFonts w:hint="eastAsia"/>
          <w:color w:val="auto"/>
          <w:highlight w:val="none"/>
        </w:rPr>
        <w:t>估值对象</w:t>
      </w:r>
    </w:p>
    <w:p w14:paraId="69E79139">
      <w:pPr>
        <w:autoSpaceDE w:val="0"/>
        <w:autoSpaceDN w:val="0"/>
        <w:adjustRightInd w:val="0"/>
        <w:snapToGrid w:val="0"/>
        <w:spacing w:line="360" w:lineRule="auto"/>
        <w:ind w:firstLine="464" w:firstLineChars="200"/>
        <w:jc w:val="left"/>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本理财产品估值的对象为本理财产品所持有的一切资产和负债。</w:t>
      </w:r>
    </w:p>
    <w:p w14:paraId="6E89599A">
      <w:pPr>
        <w:pStyle w:val="3"/>
        <w:ind w:firstLine="482"/>
        <w:rPr>
          <w:color w:val="auto"/>
          <w:highlight w:val="none"/>
        </w:rPr>
      </w:pPr>
      <w:r>
        <w:rPr>
          <w:rFonts w:hint="eastAsia"/>
          <w:color w:val="auto"/>
          <w:highlight w:val="none"/>
        </w:rPr>
        <w:t>估值方法</w:t>
      </w:r>
    </w:p>
    <w:p w14:paraId="5D4A540F">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1.货币市场工具类资产的估值</w:t>
      </w:r>
    </w:p>
    <w:p w14:paraId="13FA032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（1）银行存款及回购按其商定利率或协议利率在实际持有期内逐日计提收益。</w:t>
      </w:r>
    </w:p>
    <w:p w14:paraId="6448ED4B">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（2）货币基金按最近披露的基金份额净值进行估值，并依据该基金公布的前一日每万份收益计提收益。</w:t>
      </w:r>
    </w:p>
    <w:p w14:paraId="0229CDBE">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.在证券交易所和银行间市场交易的债券及非标准化债权资产的估值，符合以下条件之一的，可采用摊余成本法进行计量：</w:t>
      </w:r>
    </w:p>
    <w:p w14:paraId="2FEE6C0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（1）以收取合同现金流量为目的并持有至到期。</w:t>
      </w:r>
    </w:p>
    <w:p w14:paraId="1BD5DB19">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（2）暂不具备活跃交易市场，或者在活跃市场中没有报价、也不能采用估值技术可靠计量其公允价值。</w:t>
      </w:r>
    </w:p>
    <w:p w14:paraId="69A1811F">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w:t>
      </w:r>
      <w:r>
        <w:rPr>
          <w:rFonts w:hint="eastAsia" w:ascii="仿宋_GB2312" w:hAnsi="宋体" w:cs="宋体"/>
          <w:bCs/>
          <w:color w:val="auto"/>
          <w:kern w:val="0"/>
          <w:szCs w:val="24"/>
          <w:highlight w:val="none"/>
        </w:rPr>
        <w:t>.不符合上述条件的债券，按照第三方估值机构（中债、中证等）提供的估值数据对本理财产品所持有债券进行估值，具体的第三方估值机构由管理人与托管人协商确定。</w:t>
      </w:r>
    </w:p>
    <w:p w14:paraId="0EF3BA7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w:t>
      </w:r>
      <w:r>
        <w:rPr>
          <w:rFonts w:hint="eastAsia" w:ascii="仿宋_GB2312" w:hAnsi="宋体" w:cs="宋体"/>
          <w:bCs/>
          <w:color w:val="auto"/>
          <w:kern w:val="0"/>
          <w:szCs w:val="24"/>
          <w:highlight w:val="none"/>
        </w:rPr>
        <w:t>.不符合上述条件的非标准化债权资产，理财产品管理人应当采用估值技术进行估值或管理人与托管人认可的，根据合理判断按反映产品公允价值的计量方案进行估值。</w:t>
      </w:r>
    </w:p>
    <w:p w14:paraId="3277CB8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.对以摊余成本法计量的金融资产，理财产品管理人将按照新会计准则的规定采用合理的减值计量模型结果进行减值计提。计提的减值不等同于金融资产已发生实际损失，仅作为对未来风险的审慎预期。</w:t>
      </w:r>
    </w:p>
    <w:p w14:paraId="51E6E544">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6.投资非货币证券投资基金的估值</w:t>
      </w:r>
    </w:p>
    <w:p w14:paraId="73CC3923">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（1）未上市非货币基金，按所投资基金管理人估值日披露的最新份额净值进行估值；</w:t>
      </w:r>
    </w:p>
    <w:p w14:paraId="25A76F7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（2）上市基金估值</w:t>
      </w:r>
    </w:p>
    <w:p w14:paraId="4666BDE5">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交易所上市流通的基金（含公募REITs），以估值日其所在证券交易所的收盘价估值；境内上市的开放式基金（LOF），以所投资基金披露的最新份额净值进行估值。</w:t>
      </w:r>
    </w:p>
    <w:p w14:paraId="2587034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（3）如遇所投资基金不公布基金份额净值、进行折算或拆分、估值日无交易等特殊情况，则按以下原则进行估值：</w:t>
      </w:r>
    </w:p>
    <w:p w14:paraId="2010AC80">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①以所投资基金的基金份额净值估值的，若所投资基金管理人未公布估值日基金份额净值，则按最近公布的基金份额净值为基础估值。</w:t>
      </w:r>
    </w:p>
    <w:p w14:paraId="001ED942">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②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场及重大变化因素调整最近交易市场，确定公允价值。</w:t>
      </w:r>
    </w:p>
    <w:p w14:paraId="4A15DA76">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③如果所投资基金前一估值日至估值日期间发生分红除权、折算或拆分，理财产品管理人应根据基金份额净值或收盘价、单位基金份额分红金额、折算拆分比例、持仓份额等因素合理确定公允价值。</w:t>
      </w:r>
    </w:p>
    <w:p w14:paraId="3CB172E8">
      <w:pPr>
        <w:tabs>
          <w:tab w:val="left" w:pos="3119"/>
        </w:tabs>
        <w:autoSpaceDE w:val="0"/>
        <w:autoSpaceDN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投资符合投资范围内的其他各类资产管理产品的估值，以估值日截止时点获得的、由所投资资产管理人披露的最新份额净值或者投资收益情况进行估值；或由产品管理人和托管人根据合理判断按反映产品公允价值的估值方案进行估值。</w:t>
      </w:r>
    </w:p>
    <w:p w14:paraId="0ABF8363">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8.优先股的估值</w:t>
      </w:r>
    </w:p>
    <w:p w14:paraId="46451051">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优先股按第三方估值机构（中证、中债等）提供的估值数据进行估值；无第三方估值数据的，由管理人与托管人根据合理判断按反映产品公允价值的计量方案进行估值。</w:t>
      </w:r>
    </w:p>
    <w:p w14:paraId="4B99B058">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9.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14:paraId="064904B7">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10.商品与金融衍生品类资产的估值</w:t>
      </w:r>
    </w:p>
    <w:p w14:paraId="521F549E">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（1）场内交易的商品与金融衍生品类资产，以交易所最近交易日的结算价或者收盘价进行估值；</w:t>
      </w:r>
    </w:p>
    <w:p w14:paraId="7D3AFC4D">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（2）场外交易的商品与金融衍生品类资产，采用估值技术确定其公允价值，按照外部机构提供的价格数据或管理人与托管人认可的估值方案进行估值。</w:t>
      </w:r>
    </w:p>
    <w:p w14:paraId="49F3BD02">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ascii="仿宋_GB2312" w:hAnsi="宋体" w:cs="宋体"/>
          <w:bCs/>
          <w:color w:val="auto"/>
          <w:spacing w:val="-4"/>
          <w:kern w:val="0"/>
          <w:szCs w:val="24"/>
          <w:highlight w:val="none"/>
        </w:rPr>
        <w:t>11</w:t>
      </w:r>
      <w:r>
        <w:rPr>
          <w:rFonts w:hint="eastAsia" w:ascii="仿宋_GB2312" w:hAnsi="宋体" w:cs="宋体"/>
          <w:bCs/>
          <w:color w:val="auto"/>
          <w:spacing w:val="-4"/>
          <w:kern w:val="0"/>
          <w:szCs w:val="24"/>
          <w:highlight w:val="none"/>
        </w:rPr>
        <w:t>.若理财产品存续期间持有其他投资品种，以理财产品管理人与托管人共同认可的估值方法估值。</w:t>
      </w:r>
    </w:p>
    <w:p w14:paraId="07F08395">
      <w:pPr>
        <w:tabs>
          <w:tab w:val="left" w:pos="3119"/>
        </w:tabs>
        <w:autoSpaceDE w:val="0"/>
        <w:autoSpaceDN w:val="0"/>
        <w:snapToGrid w:val="0"/>
        <w:spacing w:line="360" w:lineRule="auto"/>
        <w:ind w:firstLine="464" w:firstLineChars="200"/>
        <w:rPr>
          <w:rFonts w:ascii="仿宋_GB2312" w:hAnsi="宋体" w:cs="宋体"/>
          <w:bCs/>
          <w:color w:val="auto"/>
          <w:spacing w:val="-4"/>
          <w:kern w:val="0"/>
          <w:szCs w:val="24"/>
          <w:highlight w:val="none"/>
        </w:rPr>
      </w:pPr>
      <w:r>
        <w:rPr>
          <w:rFonts w:hint="eastAsia" w:ascii="仿宋_GB2312" w:hAnsi="宋体" w:cs="宋体"/>
          <w:bCs/>
          <w:color w:val="auto"/>
          <w:spacing w:val="-4"/>
          <w:kern w:val="0"/>
          <w:szCs w:val="24"/>
          <w:highlight w:val="none"/>
        </w:rPr>
        <w:t>1</w:t>
      </w:r>
      <w:r>
        <w:rPr>
          <w:rFonts w:ascii="仿宋_GB2312" w:hAnsi="宋体" w:cs="宋体"/>
          <w:bCs/>
          <w:color w:val="auto"/>
          <w:spacing w:val="-4"/>
          <w:kern w:val="0"/>
          <w:szCs w:val="24"/>
          <w:highlight w:val="none"/>
        </w:rPr>
        <w:t>2.</w:t>
      </w:r>
      <w:r>
        <w:rPr>
          <w:rFonts w:hint="eastAsia" w:ascii="仿宋_GB2312" w:hAnsi="宋体" w:cs="宋体"/>
          <w:bCs/>
          <w:color w:val="auto"/>
          <w:spacing w:val="-4"/>
          <w:kern w:val="0"/>
          <w:szCs w:val="24"/>
          <w:highlight w:val="none"/>
        </w:rPr>
        <w:t>在任何情况下，如采用以上规定的方法对资产进行估值，均应被认为采用了适当的估值方法。如管理人有证据表明上述规定不能客观反映理财产品资产公允价值的，管理人可根据具体情况，在综合考虑市场成交价、市场报价、流动性、收益率曲线与标的信用风险等多种因素基础上，按最能反映理财产品资产公允价值的方法进行估值。</w:t>
      </w:r>
    </w:p>
    <w:p w14:paraId="3A6763F4">
      <w:pPr>
        <w:pStyle w:val="3"/>
        <w:ind w:firstLine="482"/>
        <w:rPr>
          <w:color w:val="auto"/>
          <w:highlight w:val="none"/>
        </w:rPr>
      </w:pPr>
      <w:r>
        <w:rPr>
          <w:rFonts w:hint="eastAsia"/>
          <w:color w:val="auto"/>
          <w:highlight w:val="none"/>
        </w:rPr>
        <w:t>估值错误处理</w:t>
      </w:r>
    </w:p>
    <w:p w14:paraId="5D6F9E5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产品</w:t>
      </w:r>
      <w:r>
        <w:rPr>
          <w:rFonts w:hint="eastAsia" w:ascii="仿宋_GB2312" w:hAnsi="宋体" w:cs="宋体"/>
          <w:bCs/>
          <w:color w:val="auto"/>
          <w:kern w:val="0"/>
          <w:szCs w:val="24"/>
          <w:highlight w:val="none"/>
        </w:rPr>
        <w:t>管理人和</w:t>
      </w:r>
      <w:r>
        <w:rPr>
          <w:rFonts w:ascii="仿宋_GB2312" w:hAnsi="宋体" w:cs="宋体"/>
          <w:bCs/>
          <w:color w:val="auto"/>
          <w:kern w:val="0"/>
          <w:szCs w:val="24"/>
          <w:highlight w:val="none"/>
        </w:rPr>
        <w:t>理财产品托管人</w:t>
      </w:r>
      <w:r>
        <w:rPr>
          <w:rFonts w:hint="eastAsia" w:ascii="仿宋_GB2312" w:hAnsi="宋体" w:cs="宋体"/>
          <w:bCs/>
          <w:color w:val="auto"/>
          <w:kern w:val="0"/>
          <w:szCs w:val="24"/>
          <w:highlight w:val="none"/>
        </w:rPr>
        <w:t>将采取必要、适当、合理的措施确保产品资产估值的准确性、及时性。</w:t>
      </w:r>
    </w:p>
    <w:p w14:paraId="55E8AE09">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1.估值错误处理原则</w:t>
      </w:r>
    </w:p>
    <w:p w14:paraId="23A9362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（1）由于理财产品管理人或理财产品托管人自身过错造成的估值错误，导致投资者遭受损失的，由估值错误责任方按照各自过错程度对该估值错误导致投资者遭受的直接损失给予赔偿，承担赔偿责任。</w:t>
      </w:r>
    </w:p>
    <w:p w14:paraId="4AF0F18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对因技术原因引起的差错，若系同行业现有技术水平无法预见、无法避免、无法抗拒，属不可抗力。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但因该差错取得不当得利的投资者仍应负有返还不当得利的义务。</w:t>
      </w:r>
    </w:p>
    <w:p w14:paraId="63414AAD">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若因理财产品托管人估值错误造成财产损失，理财产品管理人应向托管人追偿；若因理财产品管理人与理财产品托管人之外的第三方估值差错造成财产的损失，并拒绝进行赔偿时，由理财产品管理人负责向差错方追偿，追偿过程中产生的有关费用，应当列入理财产品费用，由理财产品承担。</w:t>
      </w:r>
    </w:p>
    <w:p w14:paraId="1C9A4A72">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（4）因估值错误而获得不当得利的投资者负有及时返还不当得利的义务。</w:t>
      </w:r>
    </w:p>
    <w:p w14:paraId="0A982976">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（5）按法律法规规定的其他原则处理估值错误。</w:t>
      </w:r>
    </w:p>
    <w:p w14:paraId="78529FD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2.估值错误处理程序</w:t>
      </w:r>
    </w:p>
    <w:p w14:paraId="2C2E89BE">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估值错误被发现后，理财产品管理人与理财产品托管人应当及时进行处理，处理的程序如下：</w:t>
      </w:r>
    </w:p>
    <w:p w14:paraId="6F18B7F0">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（1）查明估值差错发生的原因，根据估值错误发生的原因确定估值错误的责任方；</w:t>
      </w:r>
    </w:p>
    <w:p w14:paraId="6BE09F4B">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（2）根据估值错误处理原则对因估值错误造成的损失进行评估；</w:t>
      </w:r>
    </w:p>
    <w:p w14:paraId="1E7052EF">
      <w:pPr>
        <w:tabs>
          <w:tab w:val="left" w:pos="3119"/>
        </w:tabs>
        <w:autoSpaceDE w:val="0"/>
        <w:autoSpaceDN w:val="0"/>
        <w:adjustRightInd w:val="0"/>
        <w:snapToGrid w:val="0"/>
        <w:spacing w:line="360" w:lineRule="auto"/>
        <w:ind w:right="36" w:rightChars="15"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（3）根据估值错误处理原则或理财产品管理人与托管人协商的方法，由理财产品管理人与托管人共同进行更正，由估值错误的责任方进行赔偿损失。</w:t>
      </w:r>
    </w:p>
    <w:p w14:paraId="49040511">
      <w:pPr>
        <w:pStyle w:val="3"/>
        <w:ind w:firstLine="482"/>
        <w:rPr>
          <w:color w:val="auto"/>
          <w:highlight w:val="none"/>
        </w:rPr>
      </w:pPr>
      <w:r>
        <w:rPr>
          <w:rFonts w:hint="eastAsia"/>
          <w:color w:val="auto"/>
          <w:highlight w:val="none"/>
        </w:rPr>
        <w:t>暂停估值的情形</w:t>
      </w:r>
    </w:p>
    <w:p w14:paraId="02B77BE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1.当资产估值因不可抗力或其他情形致使本产品管理人和托管人无法准确评估资产价值时；</w:t>
      </w:r>
    </w:p>
    <w:p w14:paraId="068C81E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2．理财产品投资所涉及的交易市场遇法定节假日或因其他原因暂停营业时；</w:t>
      </w:r>
    </w:p>
    <w:p w14:paraId="1D5F9EF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3.理财产品投资的其他资产产品合同约定暂停估值或无法估值的情形发生，导致理财产品无法估值时；</w:t>
      </w:r>
    </w:p>
    <w:p w14:paraId="2EEF943C">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当前一估值日理财产品资产净值5</w:t>
      </w:r>
      <w:r>
        <w:rPr>
          <w:rFonts w:ascii="仿宋_GB2312" w:hAnsi="宋体" w:cs="宋体"/>
          <w:bCs/>
          <w:color w:val="auto"/>
          <w:kern w:val="0"/>
          <w:szCs w:val="24"/>
          <w:highlight w:val="none"/>
        </w:rPr>
        <w:t>0</w:t>
      </w:r>
      <w:r>
        <w:rPr>
          <w:rFonts w:hint="eastAsia" w:ascii="仿宋_GB2312" w:hAnsi="宋体" w:cs="宋体"/>
          <w:bCs/>
          <w:color w:val="auto"/>
          <w:kern w:val="0"/>
          <w:szCs w:val="24"/>
          <w:highlight w:val="none"/>
        </w:rPr>
        <w:t>%以上的资产不具备活跃市场或在活跃市场中无报价，且采用估值技术不能可靠计量公允价值时；</w:t>
      </w:r>
    </w:p>
    <w:p w14:paraId="301B459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.国家金融监督管理总局认定的其他情形或理财产品管理人、托管人有合理理由认为将影响本理财产品估值的其他情形。</w:t>
      </w:r>
    </w:p>
    <w:p w14:paraId="62FBDA3E">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482C2469">
      <w:pPr>
        <w:pStyle w:val="2"/>
        <w:rPr>
          <w:color w:val="auto"/>
          <w:highlight w:val="none"/>
        </w:rPr>
      </w:pPr>
      <w:r>
        <w:rPr>
          <w:rFonts w:hint="eastAsia"/>
          <w:color w:val="auto"/>
          <w:highlight w:val="none"/>
        </w:rPr>
        <w:t>理财产品的利益分配</w:t>
      </w:r>
    </w:p>
    <w:p w14:paraId="4594C92F">
      <w:pPr>
        <w:pStyle w:val="3"/>
        <w:ind w:firstLine="482"/>
        <w:rPr>
          <w:color w:val="auto"/>
          <w:highlight w:val="none"/>
        </w:rPr>
      </w:pPr>
      <w:r>
        <w:rPr>
          <w:rFonts w:hint="eastAsia"/>
          <w:color w:val="auto"/>
          <w:highlight w:val="none"/>
        </w:rPr>
        <w:t>理财产品的收益构成</w:t>
      </w:r>
    </w:p>
    <w:p w14:paraId="42CDAC8C">
      <w:pPr>
        <w:pStyle w:val="3"/>
        <w:numPr>
          <w:ilvl w:val="0"/>
          <w:numId w:val="0"/>
        </w:numPr>
        <w:ind w:firstLine="482" w:firstLineChars="200"/>
        <w:rPr>
          <w:color w:val="auto"/>
          <w:highlight w:val="none"/>
        </w:rPr>
      </w:pPr>
      <w:r>
        <w:rPr>
          <w:rFonts w:hint="eastAsia"/>
          <w:color w:val="auto"/>
          <w:highlight w:val="none"/>
        </w:rPr>
        <w:t>本理财产品的收益包括：投资债券、货币市场工具等监管机构认可的资产或资产管理产品所产生的利息收入、买卖证券差价收入、银行存款利息以及其他合法收入。该收益构成不代表投资者一定可以获得的收益。</w:t>
      </w:r>
    </w:p>
    <w:p w14:paraId="1FE8C072">
      <w:pPr>
        <w:pStyle w:val="3"/>
        <w:ind w:firstLine="482"/>
        <w:rPr>
          <w:color w:val="auto"/>
          <w:highlight w:val="none"/>
        </w:rPr>
      </w:pPr>
      <w:r>
        <w:rPr>
          <w:rFonts w:hint="eastAsia"/>
          <w:color w:val="auto"/>
          <w:highlight w:val="none"/>
        </w:rPr>
        <w:t>理财利益的分配类型</w:t>
      </w:r>
    </w:p>
    <w:p w14:paraId="53829FC5">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1.依据分配时点，理财利益的分配可分为“期间分配”与“终止分配”。</w:t>
      </w:r>
    </w:p>
    <w:p w14:paraId="6D87CBA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2.依据分配方式，理财利益的分配可分为“现金分配”与“非现金分配”。</w:t>
      </w:r>
    </w:p>
    <w:p w14:paraId="238FAB25">
      <w:pPr>
        <w:pStyle w:val="3"/>
        <w:ind w:firstLine="482"/>
        <w:rPr>
          <w:color w:val="auto"/>
          <w:highlight w:val="none"/>
        </w:rPr>
      </w:pPr>
      <w:r>
        <w:rPr>
          <w:rFonts w:hint="eastAsia"/>
          <w:color w:val="auto"/>
          <w:highlight w:val="none"/>
        </w:rPr>
        <w:t>理财利益的分配原则</w:t>
      </w:r>
    </w:p>
    <w:p w14:paraId="44E57082">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1.本产品利益分配应遵循下列原则：</w:t>
      </w:r>
    </w:p>
    <w:p w14:paraId="441E278E">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（1）每一产品份额享有同等分配权。</w:t>
      </w:r>
    </w:p>
    <w:p w14:paraId="2DE27053">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（2）在不</w:t>
      </w:r>
      <w:r>
        <w:rPr>
          <w:rFonts w:ascii="仿宋_GB2312" w:hAnsi="宋体" w:cs="宋体"/>
          <w:bCs/>
          <w:color w:val="auto"/>
          <w:kern w:val="0"/>
          <w:szCs w:val="24"/>
          <w:highlight w:val="none"/>
        </w:rPr>
        <w:t>违反法律法规、理财产品销售文件约定以及对份额持有人权益无实质性不利影响的情况下，产品管理人可</w:t>
      </w:r>
      <w:r>
        <w:rPr>
          <w:rFonts w:hint="eastAsia" w:ascii="仿宋_GB2312" w:hAnsi="宋体" w:cs="宋体"/>
          <w:bCs/>
          <w:color w:val="auto"/>
          <w:kern w:val="0"/>
          <w:szCs w:val="24"/>
          <w:highlight w:val="none"/>
        </w:rPr>
        <w:t>调整</w:t>
      </w:r>
      <w:r>
        <w:rPr>
          <w:rFonts w:ascii="仿宋_GB2312" w:hAnsi="宋体" w:cs="宋体"/>
          <w:bCs/>
          <w:color w:val="auto"/>
          <w:kern w:val="0"/>
          <w:szCs w:val="24"/>
          <w:highlight w:val="none"/>
        </w:rPr>
        <w:t>本理财产品利益的分配原则与支付方式。法律</w:t>
      </w:r>
      <w:r>
        <w:rPr>
          <w:rFonts w:hint="eastAsia" w:ascii="仿宋_GB2312" w:hAnsi="宋体" w:cs="宋体"/>
          <w:bCs/>
          <w:color w:val="auto"/>
          <w:kern w:val="0"/>
          <w:szCs w:val="24"/>
          <w:highlight w:val="none"/>
        </w:rPr>
        <w:t>法规</w:t>
      </w:r>
      <w:r>
        <w:rPr>
          <w:rFonts w:ascii="仿宋_GB2312" w:hAnsi="宋体" w:cs="宋体"/>
          <w:bCs/>
          <w:color w:val="auto"/>
          <w:kern w:val="0"/>
          <w:szCs w:val="24"/>
          <w:highlight w:val="none"/>
        </w:rPr>
        <w:t>或监管机构另有规定的从其规定。</w:t>
      </w:r>
    </w:p>
    <w:p w14:paraId="7D1C3067">
      <w:pPr>
        <w:pStyle w:val="3"/>
        <w:ind w:firstLine="482"/>
        <w:rPr>
          <w:color w:val="auto"/>
          <w:highlight w:val="none"/>
        </w:rPr>
      </w:pPr>
      <w:r>
        <w:rPr>
          <w:rFonts w:hint="eastAsia"/>
          <w:color w:val="auto"/>
          <w:highlight w:val="none"/>
        </w:rPr>
        <w:t>理财</w:t>
      </w:r>
      <w:r>
        <w:rPr>
          <w:color w:val="auto"/>
          <w:highlight w:val="none"/>
        </w:rPr>
        <w:t>利益的分配方案</w:t>
      </w:r>
    </w:p>
    <w:p w14:paraId="708A41DB">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分配方案要点：</w:t>
      </w:r>
    </w:p>
    <w:p w14:paraId="737F3E39">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理财产品的分配时点包括</w:t>
      </w:r>
      <w:r>
        <w:rPr>
          <w:rFonts w:hint="eastAsia" w:ascii="仿宋_GB2312" w:hAnsi="宋体" w:cs="宋体"/>
          <w:bCs/>
          <w:color w:val="auto"/>
          <w:kern w:val="0"/>
          <w:szCs w:val="24"/>
          <w:highlight w:val="none"/>
        </w:rPr>
        <w:t>【“终止分配”】。</w:t>
      </w:r>
    </w:p>
    <w:p w14:paraId="2829195D">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本</w:t>
      </w:r>
      <w:r>
        <w:rPr>
          <w:rFonts w:ascii="仿宋_GB2312" w:hAnsi="宋体" w:cs="宋体"/>
          <w:bCs/>
          <w:color w:val="auto"/>
          <w:kern w:val="0"/>
          <w:szCs w:val="24"/>
          <w:highlight w:val="none"/>
        </w:rPr>
        <w:t>理财产品的分配</w:t>
      </w:r>
      <w:r>
        <w:rPr>
          <w:rFonts w:hint="eastAsia" w:ascii="仿宋_GB2312" w:hAnsi="宋体" w:cs="宋体"/>
          <w:bCs/>
          <w:color w:val="auto"/>
          <w:kern w:val="0"/>
          <w:szCs w:val="24"/>
          <w:highlight w:val="none"/>
        </w:rPr>
        <w:t>方式</w:t>
      </w:r>
      <w:r>
        <w:rPr>
          <w:rFonts w:ascii="仿宋_GB2312" w:hAnsi="宋体" w:cs="宋体"/>
          <w:bCs/>
          <w:color w:val="auto"/>
          <w:kern w:val="0"/>
          <w:szCs w:val="24"/>
          <w:highlight w:val="none"/>
        </w:rPr>
        <w:t>采取</w:t>
      </w:r>
      <w:r>
        <w:rPr>
          <w:rFonts w:hint="eastAsia" w:ascii="仿宋_GB2312" w:hAnsi="宋体" w:cs="宋体"/>
          <w:bCs/>
          <w:color w:val="auto"/>
          <w:kern w:val="0"/>
          <w:szCs w:val="24"/>
          <w:highlight w:val="none"/>
        </w:rPr>
        <w:t>【“现金分配”】。</w:t>
      </w:r>
    </w:p>
    <w:p w14:paraId="29DF0BBA">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理财产品利益分配方案由产品管理人拟定，并由产品托管人复核后确定。</w:t>
      </w:r>
    </w:p>
    <w:p w14:paraId="19DD1F87">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w:t>
      </w:r>
      <w:r>
        <w:rPr>
          <w:rFonts w:ascii="仿宋_GB2312" w:hAnsi="宋体" w:cs="宋体"/>
          <w:bCs/>
          <w:color w:val="auto"/>
          <w:kern w:val="0"/>
          <w:szCs w:val="24"/>
          <w:highlight w:val="none"/>
        </w:rPr>
        <w:t>产品存续期间，产品管理人有权</w:t>
      </w:r>
      <w:r>
        <w:rPr>
          <w:rFonts w:hint="eastAsia" w:ascii="仿宋_GB2312" w:hAnsi="宋体" w:cs="宋体"/>
          <w:bCs/>
          <w:color w:val="auto"/>
          <w:kern w:val="0"/>
          <w:szCs w:val="24"/>
          <w:highlight w:val="none"/>
        </w:rPr>
        <w:t>视</w:t>
      </w:r>
      <w:r>
        <w:rPr>
          <w:rFonts w:ascii="仿宋_GB2312" w:hAnsi="宋体" w:cs="宋体"/>
          <w:bCs/>
          <w:color w:val="auto"/>
          <w:kern w:val="0"/>
          <w:szCs w:val="24"/>
          <w:highlight w:val="none"/>
        </w:rPr>
        <w:t>理财产品收益情况进行主动分配，相应分配基准日、分配方案由产品管理人及时披露。</w:t>
      </w:r>
    </w:p>
    <w:p w14:paraId="79816A4A">
      <w:pPr>
        <w:pStyle w:val="3"/>
        <w:ind w:firstLine="482"/>
        <w:rPr>
          <w:color w:val="auto"/>
          <w:highlight w:val="none"/>
        </w:rPr>
      </w:pPr>
      <w:r>
        <w:rPr>
          <w:rFonts w:hint="eastAsia"/>
          <w:color w:val="auto"/>
          <w:highlight w:val="none"/>
        </w:rPr>
        <w:t>理财利益的分配</w:t>
      </w:r>
    </w:p>
    <w:p w14:paraId="05081FB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1.理财</w:t>
      </w:r>
      <w:r>
        <w:rPr>
          <w:rFonts w:ascii="仿宋_GB2312" w:hAnsi="宋体" w:cs="宋体"/>
          <w:bCs/>
          <w:color w:val="auto"/>
          <w:kern w:val="0"/>
          <w:szCs w:val="24"/>
          <w:highlight w:val="none"/>
        </w:rPr>
        <w:t>利益的分配日</w:t>
      </w:r>
    </w:p>
    <w:p w14:paraId="027C9BF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w:t>
      </w:r>
      <w:r>
        <w:rPr>
          <w:rFonts w:ascii="仿宋_GB2312" w:hAnsi="宋体" w:cs="宋体"/>
          <w:bCs/>
          <w:color w:val="auto"/>
          <w:kern w:val="0"/>
          <w:szCs w:val="24"/>
          <w:highlight w:val="none"/>
        </w:rPr>
        <w:t>为期间分配的，原则上产品管理人应于分配基准日后</w:t>
      </w:r>
      <w:r>
        <w:rPr>
          <w:rFonts w:hint="eastAsia" w:ascii="仿宋_GB2312" w:hAnsi="宋体" w:cs="宋体"/>
          <w:bCs/>
          <w:color w:val="auto"/>
          <w:kern w:val="0"/>
          <w:szCs w:val="24"/>
          <w:highlight w:val="none"/>
        </w:rPr>
        <w:t>【</w:t>
      </w:r>
      <w:r>
        <w:rPr>
          <w:rFonts w:hint="eastAsia" w:ascii="仿宋_GB2312" w:hAnsi="宋体" w:cs="宋体"/>
          <w:bCs/>
          <w:color w:val="auto"/>
          <w:kern w:val="0"/>
          <w:szCs w:val="24"/>
          <w:highlight w:val="none"/>
          <w:lang w:val="en-US" w:eastAsia="zh-CN"/>
        </w:rPr>
        <w:t>5</w:t>
      </w:r>
      <w:r>
        <w:rPr>
          <w:rFonts w:hint="eastAsia" w:ascii="仿宋_GB2312" w:hAnsi="宋体" w:cs="宋体"/>
          <w:bCs/>
          <w:color w:val="auto"/>
          <w:kern w:val="0"/>
          <w:szCs w:val="24"/>
          <w:highlight w:val="none"/>
        </w:rPr>
        <w:t>】个</w:t>
      </w:r>
      <w:r>
        <w:rPr>
          <w:rFonts w:ascii="仿宋_GB2312" w:hAnsi="宋体" w:cs="宋体"/>
          <w:bCs/>
          <w:color w:val="auto"/>
          <w:kern w:val="0"/>
          <w:szCs w:val="24"/>
          <w:highlight w:val="none"/>
        </w:rPr>
        <w:t>工作日内分配理财</w:t>
      </w:r>
      <w:r>
        <w:rPr>
          <w:rFonts w:hint="eastAsia" w:ascii="仿宋_GB2312" w:hAnsi="宋体" w:cs="宋体"/>
          <w:bCs/>
          <w:color w:val="auto"/>
          <w:kern w:val="0"/>
          <w:szCs w:val="24"/>
          <w:highlight w:val="none"/>
        </w:rPr>
        <w:t>利益</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71BBF938">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若为</w:t>
      </w:r>
      <w:r>
        <w:rPr>
          <w:rFonts w:ascii="仿宋_GB2312" w:hAnsi="宋体" w:cs="宋体"/>
          <w:bCs/>
          <w:color w:val="auto"/>
          <w:kern w:val="0"/>
          <w:szCs w:val="24"/>
          <w:highlight w:val="none"/>
        </w:rPr>
        <w:t>终止分配的，</w:t>
      </w:r>
      <w:r>
        <w:rPr>
          <w:rFonts w:hint="eastAsia" w:ascii="仿宋_GB2312" w:hAnsi="宋体" w:cs="宋体"/>
          <w:bCs/>
          <w:color w:val="auto"/>
          <w:kern w:val="0"/>
          <w:szCs w:val="24"/>
          <w:highlight w:val="none"/>
        </w:rPr>
        <w:t>产品</w:t>
      </w:r>
      <w:r>
        <w:rPr>
          <w:rFonts w:ascii="仿宋_GB2312" w:hAnsi="宋体" w:cs="宋体"/>
          <w:bCs/>
          <w:color w:val="auto"/>
          <w:kern w:val="0"/>
          <w:szCs w:val="24"/>
          <w:highlight w:val="none"/>
        </w:rPr>
        <w:t>管理人应按“</w:t>
      </w:r>
      <w:r>
        <w:rPr>
          <w:rFonts w:hint="eastAsia" w:ascii="仿宋_GB2312" w:hAnsi="宋体" w:cs="宋体"/>
          <w:bCs/>
          <w:color w:val="auto"/>
          <w:kern w:val="0"/>
          <w:szCs w:val="24"/>
          <w:highlight w:val="none"/>
        </w:rPr>
        <w:t>第十节 理财</w:t>
      </w:r>
      <w:r>
        <w:rPr>
          <w:rFonts w:ascii="仿宋_GB2312" w:hAnsi="宋体" w:cs="宋体"/>
          <w:bCs/>
          <w:color w:val="auto"/>
          <w:kern w:val="0"/>
          <w:szCs w:val="24"/>
          <w:highlight w:val="none"/>
        </w:rPr>
        <w:t>产品终止与清算”</w:t>
      </w:r>
      <w:r>
        <w:rPr>
          <w:rFonts w:hint="eastAsia" w:ascii="仿宋_GB2312" w:hAnsi="宋体" w:cs="宋体"/>
          <w:bCs/>
          <w:color w:val="auto"/>
          <w:kern w:val="0"/>
          <w:szCs w:val="24"/>
          <w:highlight w:val="none"/>
        </w:rPr>
        <w:t>中</w:t>
      </w:r>
      <w:r>
        <w:rPr>
          <w:rFonts w:ascii="仿宋_GB2312" w:hAnsi="宋体" w:cs="宋体"/>
          <w:bCs/>
          <w:color w:val="auto"/>
          <w:kern w:val="0"/>
          <w:szCs w:val="24"/>
          <w:highlight w:val="none"/>
        </w:rPr>
        <w:t>产品清算期的相关约定向投资者分配</w:t>
      </w:r>
      <w:r>
        <w:rPr>
          <w:rFonts w:hint="eastAsia" w:ascii="仿宋_GB2312" w:hAnsi="宋体" w:cs="宋体"/>
          <w:bCs/>
          <w:color w:val="auto"/>
          <w:kern w:val="0"/>
          <w:szCs w:val="24"/>
          <w:highlight w:val="none"/>
        </w:rPr>
        <w:t>理财</w:t>
      </w:r>
      <w:r>
        <w:rPr>
          <w:rFonts w:ascii="仿宋_GB2312" w:hAnsi="宋体" w:cs="宋体"/>
          <w:bCs/>
          <w:color w:val="auto"/>
          <w:kern w:val="0"/>
          <w:szCs w:val="24"/>
          <w:highlight w:val="none"/>
        </w:rPr>
        <w:t>利益（</w:t>
      </w:r>
      <w:r>
        <w:rPr>
          <w:rFonts w:hint="eastAsia" w:ascii="仿宋_GB2312" w:hAnsi="宋体" w:cs="宋体"/>
          <w:bCs/>
          <w:color w:val="auto"/>
          <w:kern w:val="0"/>
          <w:szCs w:val="24"/>
          <w:highlight w:val="none"/>
        </w:rPr>
        <w:t>如有</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w:t>
      </w:r>
    </w:p>
    <w:p w14:paraId="65819320">
      <w:pPr>
        <w:autoSpaceDE w:val="0"/>
        <w:autoSpaceDN w:val="0"/>
        <w:adjustRightInd w:val="0"/>
        <w:snapToGrid w:val="0"/>
        <w:spacing w:line="360" w:lineRule="auto"/>
        <w:ind w:firstLine="480" w:firstLineChars="200"/>
        <w:jc w:val="left"/>
        <w:rPr>
          <w:rFonts w:ascii="仿宋_GB2312" w:hAnsi="宋体" w:cs="宋体"/>
          <w:bCs/>
          <w:color w:val="auto"/>
          <w:kern w:val="0"/>
          <w:szCs w:val="24"/>
          <w:highlight w:val="none"/>
        </w:rPr>
      </w:pPr>
      <w:r>
        <w:rPr>
          <w:rFonts w:ascii="仿宋_GB2312" w:hAnsi="宋体" w:cs="宋体"/>
          <w:bCs/>
          <w:color w:val="auto"/>
          <w:kern w:val="0"/>
          <w:szCs w:val="24"/>
          <w:highlight w:val="none"/>
        </w:rPr>
        <w:t>2.</w:t>
      </w:r>
      <w:r>
        <w:rPr>
          <w:rFonts w:hint="eastAsia" w:ascii="仿宋_GB2312" w:hAnsi="宋体" w:cs="宋体"/>
          <w:bCs/>
          <w:color w:val="auto"/>
          <w:kern w:val="0"/>
          <w:szCs w:val="24"/>
          <w:highlight w:val="none"/>
        </w:rPr>
        <w:t>具体</w:t>
      </w:r>
      <w:r>
        <w:rPr>
          <w:rFonts w:ascii="仿宋_GB2312" w:hAnsi="宋体" w:cs="宋体"/>
          <w:bCs/>
          <w:color w:val="auto"/>
          <w:kern w:val="0"/>
          <w:szCs w:val="24"/>
          <w:highlight w:val="none"/>
        </w:rPr>
        <w:t>的理财产品分配</w:t>
      </w:r>
      <w:r>
        <w:rPr>
          <w:rFonts w:hint="eastAsia" w:ascii="仿宋_GB2312" w:hAnsi="宋体" w:cs="宋体"/>
          <w:bCs/>
          <w:color w:val="auto"/>
          <w:kern w:val="0"/>
          <w:szCs w:val="24"/>
          <w:highlight w:val="none"/>
        </w:rPr>
        <w:t>以</w:t>
      </w:r>
      <w:r>
        <w:rPr>
          <w:rFonts w:ascii="仿宋_GB2312" w:hAnsi="宋体" w:cs="宋体"/>
          <w:bCs/>
          <w:color w:val="auto"/>
          <w:kern w:val="0"/>
          <w:szCs w:val="24"/>
          <w:highlight w:val="none"/>
        </w:rPr>
        <w:t>管理人实际分配的为准。</w:t>
      </w:r>
    </w:p>
    <w:p w14:paraId="659F8F6D">
      <w:pPr>
        <w:widowControl/>
        <w:jc w:val="left"/>
        <w:rPr>
          <w:rFonts w:ascii="仿宋_GB2312" w:hAnsi="宋体" w:eastAsia="宋体" w:cs="宋体"/>
          <w:bCs/>
          <w:color w:val="auto"/>
          <w:kern w:val="0"/>
          <w:szCs w:val="24"/>
          <w:highlight w:val="none"/>
        </w:rPr>
      </w:pPr>
      <w:r>
        <w:rPr>
          <w:rFonts w:ascii="仿宋_GB2312" w:hAnsi="宋体"/>
          <w:bCs/>
          <w:color w:val="auto"/>
          <w:highlight w:val="none"/>
        </w:rPr>
        <w:br w:type="page"/>
      </w:r>
    </w:p>
    <w:p w14:paraId="49857DFE">
      <w:pPr>
        <w:pStyle w:val="2"/>
        <w:rPr>
          <w:color w:val="auto"/>
          <w:highlight w:val="none"/>
        </w:rPr>
      </w:pPr>
      <w:r>
        <w:rPr>
          <w:rFonts w:hint="eastAsia"/>
          <w:color w:val="auto"/>
          <w:highlight w:val="none"/>
        </w:rPr>
        <w:t>理财产品的费用与税收</w:t>
      </w:r>
    </w:p>
    <w:p w14:paraId="52F790C9">
      <w:pPr>
        <w:pStyle w:val="3"/>
        <w:ind w:firstLine="482"/>
        <w:rPr>
          <w:color w:val="auto"/>
          <w:highlight w:val="none"/>
        </w:rPr>
      </w:pPr>
      <w:r>
        <w:rPr>
          <w:rFonts w:hint="eastAsia"/>
          <w:color w:val="auto"/>
          <w:highlight w:val="none"/>
        </w:rPr>
        <w:t>理财费用</w:t>
      </w:r>
    </w:p>
    <w:p w14:paraId="1E1BFFF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1.理财产品费用的种类</w:t>
      </w:r>
    </w:p>
    <w:p w14:paraId="644C9E9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4FAF9D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（2）理财产品的销售服务费；</w:t>
      </w:r>
    </w:p>
    <w:p w14:paraId="01D56DF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（3）理财产品的</w:t>
      </w:r>
      <w:r>
        <w:rPr>
          <w:rFonts w:hint="eastAsia" w:ascii="仿宋_GB2312" w:hAnsi="宋体" w:cs="宋体"/>
          <w:bCs/>
          <w:color w:val="auto"/>
          <w:kern w:val="0"/>
          <w:szCs w:val="24"/>
          <w:highlight w:val="none"/>
        </w:rPr>
        <w:t>投资管理费</w:t>
      </w:r>
      <w:r>
        <w:rPr>
          <w:rFonts w:ascii="仿宋_GB2312" w:hAnsi="宋体" w:cs="宋体"/>
          <w:bCs/>
          <w:color w:val="auto"/>
          <w:kern w:val="0"/>
          <w:szCs w:val="24"/>
          <w:highlight w:val="none"/>
        </w:rPr>
        <w:t>及业绩报酬；</w:t>
      </w:r>
    </w:p>
    <w:p w14:paraId="58A8C06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（4）理财产品的产品托管费；</w:t>
      </w:r>
    </w:p>
    <w:p w14:paraId="78A4548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（5）</w:t>
      </w:r>
      <w:r>
        <w:rPr>
          <w:rFonts w:hint="eastAsia" w:ascii="仿宋_GB2312" w:hAnsi="宋体" w:cs="宋体"/>
          <w:bCs/>
          <w:color w:val="auto"/>
          <w:kern w:val="0"/>
          <w:szCs w:val="24"/>
          <w:highlight w:val="none"/>
        </w:rPr>
        <w:t>其他费用，包括但不限于：与</w:t>
      </w:r>
      <w:r>
        <w:rPr>
          <w:rFonts w:ascii="仿宋_GB2312" w:hAnsi="宋体" w:cs="宋体"/>
          <w:bCs/>
          <w:color w:val="auto"/>
          <w:kern w:val="0"/>
          <w:szCs w:val="24"/>
          <w:highlight w:val="none"/>
        </w:rPr>
        <w:t>理财产品相关的</w:t>
      </w:r>
      <w:r>
        <w:rPr>
          <w:rFonts w:hint="eastAsia" w:ascii="仿宋_GB2312" w:hAnsi="宋体" w:cs="宋体"/>
          <w:bCs/>
          <w:color w:val="auto"/>
          <w:kern w:val="0"/>
          <w:szCs w:val="24"/>
          <w:highlight w:val="none"/>
        </w:rPr>
        <w:t>账户服务费用、资产服务费用、交易费用（包括但不限于交易佣金、撮合费用等）、注册登记费、验资费、审计费、信息披露费、清算费用、执行费用（包括但不限于律师费、诉讼费、仲裁费、公证费、保全费、执行费等）以及按照法律法规、监管规定和理财产品销售文件约定可以列入的其他费用，具体以实际发生为准。</w:t>
      </w:r>
    </w:p>
    <w:p w14:paraId="1656919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宋体" w:hAnsi="宋体" w:cs="宋体"/>
          <w:color w:val="auto"/>
          <w:kern w:val="0"/>
          <w:szCs w:val="24"/>
          <w:highlight w:val="none"/>
        </w:rPr>
        <w:t>本产品可能根据投资者购买理财产品的</w:t>
      </w:r>
      <w:r>
        <w:rPr>
          <w:rFonts w:hint="eastAsia" w:ascii="仿宋_GB2312" w:hAnsi="宋体" w:cs="宋体"/>
          <w:bCs/>
          <w:color w:val="auto"/>
          <w:kern w:val="0"/>
          <w:szCs w:val="24"/>
          <w:highlight w:val="none"/>
        </w:rPr>
        <w:t>金额、销售渠道、客户类型</w:t>
      </w:r>
      <w:r>
        <w:rPr>
          <w:rFonts w:hint="eastAsia" w:ascii="宋体" w:hAnsi="宋体" w:cs="宋体"/>
          <w:color w:val="auto"/>
          <w:kern w:val="0"/>
          <w:szCs w:val="24"/>
          <w:highlight w:val="none"/>
        </w:rPr>
        <w:t>等因素设置不同产品份额</w:t>
      </w:r>
      <w:r>
        <w:rPr>
          <w:rFonts w:hint="eastAsia" w:ascii="仿宋_GB2312" w:hAnsi="宋体" w:cs="宋体"/>
          <w:bCs/>
          <w:color w:val="auto"/>
          <w:kern w:val="0"/>
          <w:szCs w:val="24"/>
          <w:highlight w:val="none"/>
        </w:rPr>
        <w:t>类别</w:t>
      </w:r>
      <w:r>
        <w:rPr>
          <w:rFonts w:hint="eastAsia" w:ascii="宋体" w:hAnsi="宋体" w:cs="宋体"/>
          <w:color w:val="auto"/>
          <w:kern w:val="0"/>
          <w:szCs w:val="24"/>
          <w:highlight w:val="none"/>
        </w:rPr>
        <w:t>，各类产品份额</w:t>
      </w:r>
      <w:r>
        <w:rPr>
          <w:rFonts w:hint="eastAsia" w:ascii="仿宋_GB2312" w:hAnsi="宋体" w:cs="宋体"/>
          <w:bCs/>
          <w:color w:val="auto"/>
          <w:kern w:val="0"/>
          <w:szCs w:val="24"/>
          <w:highlight w:val="none"/>
        </w:rPr>
        <w:t>可能分别设置不同的</w:t>
      </w:r>
      <w:r>
        <w:rPr>
          <w:rFonts w:ascii="仿宋_GB2312" w:hAnsi="宋体" w:cs="宋体"/>
          <w:bCs/>
          <w:color w:val="auto"/>
          <w:kern w:val="0"/>
          <w:szCs w:val="24"/>
          <w:highlight w:val="none"/>
        </w:rPr>
        <w:t>销售服务</w:t>
      </w:r>
      <w:r>
        <w:rPr>
          <w:rFonts w:ascii="宋体" w:hAnsi="宋体" w:cs="宋体"/>
          <w:color w:val="auto"/>
          <w:kern w:val="0"/>
          <w:szCs w:val="24"/>
          <w:highlight w:val="none"/>
        </w:rPr>
        <w:t>费率</w:t>
      </w:r>
      <w:r>
        <w:rPr>
          <w:rFonts w:hint="eastAsia" w:ascii="宋体" w:hAnsi="宋体" w:cs="宋体"/>
          <w:color w:val="auto"/>
          <w:kern w:val="0"/>
          <w:szCs w:val="24"/>
          <w:highlight w:val="none"/>
        </w:rPr>
        <w:t>、托管费率</w:t>
      </w:r>
      <w:r>
        <w:rPr>
          <w:rFonts w:ascii="宋体" w:hAnsi="宋体" w:cs="宋体"/>
          <w:color w:val="auto"/>
          <w:kern w:val="0"/>
          <w:szCs w:val="24"/>
          <w:highlight w:val="none"/>
        </w:rPr>
        <w:t>，</w:t>
      </w:r>
      <w:r>
        <w:rPr>
          <w:rFonts w:ascii="仿宋_GB2312" w:hAnsi="宋体" w:cs="宋体"/>
          <w:bCs/>
          <w:color w:val="auto"/>
          <w:kern w:val="0"/>
          <w:szCs w:val="24"/>
          <w:highlight w:val="none"/>
        </w:rPr>
        <w:t>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48ACC7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2.理财产品费用计提方法、计提标准和支付方式</w:t>
      </w:r>
    </w:p>
    <w:p w14:paraId="6657C9C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（1）理财产品的认购费、申购费、赎回费</w:t>
      </w:r>
    </w:p>
    <w:p w14:paraId="376A098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1）认购费：费率具体数值以《产品说明书》“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52CAC34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2）申购费：费率具体数值以《产品说明书》“</w:t>
      </w:r>
      <w:r>
        <w:rPr>
          <w:rFonts w:hint="eastAsia" w:ascii="仿宋_GB2312" w:hAnsi="宋体" w:cs="宋体"/>
          <w:bCs/>
          <w:color w:val="auto"/>
          <w:kern w:val="0"/>
          <w:szCs w:val="24"/>
          <w:highlight w:val="none"/>
        </w:rPr>
        <w:t>第二节 理财产品基本情况</w:t>
      </w:r>
      <w:r>
        <w:rPr>
          <w:rFonts w:ascii="仿宋_GB2312" w:hAnsi="宋体" w:cs="宋体"/>
          <w:bCs/>
          <w:color w:val="auto"/>
          <w:kern w:val="0"/>
          <w:szCs w:val="24"/>
          <w:highlight w:val="none"/>
        </w:rPr>
        <w:t>”为准。</w:t>
      </w:r>
    </w:p>
    <w:p w14:paraId="4C2A55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3）赎回费：费率具体数值以《产品说明书》“</w:t>
      </w:r>
      <w:r>
        <w:rPr>
          <w:rFonts w:hint="eastAsia" w:ascii="仿宋_GB2312" w:hAnsi="宋体" w:cs="宋体"/>
          <w:bCs/>
          <w:color w:val="auto"/>
          <w:kern w:val="0"/>
          <w:szCs w:val="24"/>
          <w:highlight w:val="none"/>
        </w:rPr>
        <w:t>第二节 理财产品基本情况”为准。</w:t>
      </w:r>
    </w:p>
    <w:p w14:paraId="676E403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（2）理财产品的销售服务费</w:t>
      </w:r>
    </w:p>
    <w:p w14:paraId="71C7877C">
      <w:pPr>
        <w:tabs>
          <w:tab w:val="left" w:pos="3119"/>
        </w:tabs>
        <w:autoSpaceDE w:val="0"/>
        <w:autoSpaceDN w:val="0"/>
        <w:snapToGrid w:val="0"/>
        <w:spacing w:line="360" w:lineRule="auto"/>
        <w:ind w:firstLine="480" w:firstLineChars="200"/>
        <w:rPr>
          <w:rFonts w:ascii="仿宋_GB2312" w:hAnsi="宋体" w:cs="宋体"/>
          <w:bCs/>
          <w:color w:val="auto"/>
          <w:spacing w:val="-4"/>
          <w:kern w:val="0"/>
          <w:szCs w:val="24"/>
          <w:highlight w:val="none"/>
        </w:rPr>
      </w:pPr>
      <w:r>
        <w:rPr>
          <w:rFonts w:hint="eastAsia" w:ascii="仿宋_GB2312" w:hAnsi="宋体" w:cs="宋体"/>
          <w:bCs/>
          <w:color w:val="auto"/>
          <w:kern w:val="0"/>
          <w:szCs w:val="24"/>
          <w:highlight w:val="none"/>
        </w:rPr>
        <w:t>本产品的销售服务费按前一日理财资产净值与销售服务费费率每日计提。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。销售服务费</w:t>
      </w:r>
      <w:r>
        <w:rPr>
          <w:rFonts w:hint="eastAsia" w:ascii="仿宋_GB2312" w:hAnsi="宋体" w:cs="宋体"/>
          <w:bCs/>
          <w:color w:val="auto"/>
          <w:spacing w:val="-4"/>
          <w:kern w:val="0"/>
          <w:szCs w:val="24"/>
          <w:highlight w:val="none"/>
        </w:rPr>
        <w:t>精确到小数点后2位，小数点2位以后四舍五入。</w:t>
      </w:r>
    </w:p>
    <w:p w14:paraId="74EE622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销售服务费的计算方法如下：</w:t>
      </w:r>
    </w:p>
    <w:p w14:paraId="36682B32">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H＝E×销售服务费年费率÷365</w:t>
      </w:r>
    </w:p>
    <w:p w14:paraId="3010AA6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H为每日应计提的销售服务费</w:t>
      </w:r>
    </w:p>
    <w:p w14:paraId="5D073F1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428AD3E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销售服务费依照上述约定，从理财财产中支付。费率具体数值以《产品说明书》“第二节 理财产品基本情况”为准。</w:t>
      </w:r>
    </w:p>
    <w:p w14:paraId="469286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（3）理财产品的投资管理费</w:t>
      </w:r>
    </w:p>
    <w:p w14:paraId="53F628F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本产品的投资管理费按前一日理财资产净值与投资管理费费率每日计提，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投资管理费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17C44AB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投资管理费的计算方法如下：</w:t>
      </w:r>
    </w:p>
    <w:p w14:paraId="4788B76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H＝E×投资管理费年费率÷365</w:t>
      </w:r>
    </w:p>
    <w:p w14:paraId="380AE5A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H为每日应计提的产品投资管理费</w:t>
      </w:r>
    </w:p>
    <w:p w14:paraId="0D6A05E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6716432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投资管理费依照上述约定，从理财财产中支付。费率具体数值以《产品说明书》“第二节 理财产品基本情况”为准。</w:t>
      </w:r>
    </w:p>
    <w:p w14:paraId="4229EDD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4）业绩报酬</w:t>
      </w:r>
    </w:p>
    <w:p w14:paraId="020701BD">
      <w:pPr>
        <w:pStyle w:val="28"/>
        <w:widowControl/>
        <w:snapToGrid w:val="0"/>
        <w:spacing w:line="360" w:lineRule="auto"/>
        <w:ind w:left="420" w:firstLine="0" w:firstLineChars="0"/>
        <w:rPr>
          <w:rFonts w:hint="eastAsia" w:ascii="仿宋_GB2312" w:hAnsi="宋体" w:cs="宋体"/>
          <w:bCs/>
          <w:color w:val="auto"/>
          <w:kern w:val="0"/>
          <w:szCs w:val="24"/>
          <w:highlight w:val="none"/>
        </w:rPr>
      </w:pPr>
      <w:r>
        <w:rPr>
          <w:rFonts w:hint="eastAsia" w:ascii="仿宋_GB2312" w:hAnsi="宋体" w:cs="宋体"/>
          <w:bCs/>
          <w:color w:val="auto"/>
          <w:kern w:val="0"/>
          <w:szCs w:val="24"/>
          <w:highlight w:val="none"/>
        </w:rPr>
        <w:t>【□本产品</w:t>
      </w:r>
      <w:r>
        <w:rPr>
          <w:rFonts w:ascii="仿宋_GB2312" w:hAnsi="宋体" w:cs="宋体"/>
          <w:bCs/>
          <w:color w:val="auto"/>
          <w:kern w:val="0"/>
          <w:szCs w:val="24"/>
          <w:highlight w:val="none"/>
        </w:rPr>
        <w:t>无业绩报酬。</w:t>
      </w:r>
      <w:r>
        <w:rPr>
          <w:rFonts w:hint="eastAsia" w:ascii="仿宋_GB2312" w:hAnsi="宋体" w:cs="宋体"/>
          <w:bCs/>
          <w:color w:val="auto"/>
          <w:kern w:val="0"/>
          <w:szCs w:val="24"/>
          <w:highlight w:val="none"/>
          <w:lang w:eastAsia="zh-CN"/>
        </w:rPr>
        <w:t>】</w:t>
      </w:r>
    </w:p>
    <w:p w14:paraId="514F1B14">
      <w:pPr>
        <w:widowControl/>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lang w:eastAsia="zh-CN"/>
        </w:rPr>
        <w:t>【</w:t>
      </w:r>
      <w:r>
        <w:rPr>
          <w:rFonts w:ascii="Wingdings 2" w:hAnsi="Wingdings 2" w:cs="宋体"/>
          <w:bCs/>
          <w:color w:val="auto"/>
          <w:kern w:val="0"/>
          <w:szCs w:val="24"/>
          <w:highlight w:val="none"/>
        </w:rPr>
        <w:t>R</w:t>
      </w:r>
      <w:r>
        <w:rPr>
          <w:rFonts w:hint="eastAsia" w:ascii="仿宋_GB2312" w:hAnsi="宋体" w:cs="宋体"/>
          <w:bCs/>
          <w:color w:val="auto"/>
          <w:kern w:val="0"/>
          <w:szCs w:val="24"/>
          <w:highlight w:val="none"/>
        </w:rPr>
        <w:t>理财产品管理人收取理财产品业绩报酬。业绩报酬每日计提，在产品到期日收取（如有）。在理财产品到期日时</w:t>
      </w:r>
      <w:r>
        <w:rPr>
          <w:rFonts w:hint="eastAsia"/>
          <w:color w:val="auto"/>
          <w:highlight w:val="none"/>
        </w:rPr>
        <w:t>，若理财资产扣除销售服务费、产品托管费和投资管理费等相关费用和税收后，产品年化收益率超过业绩报酬计提基准，则产品管理人收取超出部分的一定比例作为业绩报酬。</w:t>
      </w:r>
    </w:p>
    <w:p w14:paraId="24CD945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业绩报酬计提基准的设置、</w:t>
      </w:r>
      <w:r>
        <w:rPr>
          <w:rFonts w:hint="eastAsia"/>
          <w:color w:val="auto"/>
          <w:highlight w:val="none"/>
        </w:rPr>
        <w:t>业绩报酬</w:t>
      </w:r>
      <w:r>
        <w:rPr>
          <w:rFonts w:hint="eastAsia" w:ascii="仿宋_GB2312" w:hAnsi="宋体" w:cs="宋体"/>
          <w:bCs/>
          <w:color w:val="auto"/>
          <w:kern w:val="0"/>
          <w:szCs w:val="24"/>
          <w:highlight w:val="none"/>
        </w:rPr>
        <w:t>的具体比例数值以《产品说明书》“第二节</w:t>
      </w:r>
      <w:r>
        <w:rPr>
          <w:rFonts w:ascii="仿宋_GB2312" w:hAnsi="宋体" w:cs="宋体"/>
          <w:bCs/>
          <w:color w:val="auto"/>
          <w:kern w:val="0"/>
          <w:szCs w:val="24"/>
          <w:highlight w:val="none"/>
        </w:rPr>
        <w:t xml:space="preserve"> </w:t>
      </w:r>
      <w:r>
        <w:rPr>
          <w:rFonts w:hint="eastAsia" w:ascii="仿宋_GB2312" w:hAnsi="宋体" w:cs="宋体"/>
          <w:bCs/>
          <w:color w:val="auto"/>
          <w:kern w:val="0"/>
          <w:szCs w:val="24"/>
          <w:highlight w:val="none"/>
        </w:rPr>
        <w:t>理财产品基本情况”为准。</w:t>
      </w:r>
    </w:p>
    <w:p w14:paraId="44DEC1C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color w:val="auto"/>
          <w:highlight w:val="none"/>
        </w:rPr>
        <w:t>业绩报酬</w:t>
      </w:r>
      <w:r>
        <w:rPr>
          <w:rFonts w:hint="eastAsia" w:ascii="仿宋_GB2312" w:hAnsi="宋体" w:cs="宋体"/>
          <w:bCs/>
          <w:color w:val="auto"/>
          <w:kern w:val="0"/>
          <w:szCs w:val="24"/>
          <w:highlight w:val="none"/>
        </w:rPr>
        <w:t xml:space="preserve">的计提/收取如下： </w:t>
      </w:r>
    </w:p>
    <w:p w14:paraId="4503096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产品年化收益率</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的计算公式，R=（</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D+1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*365*100</w:t>
      </w:r>
      <w:r>
        <w:rPr>
          <w:rFonts w:hint="eastAsia" w:ascii="仿宋_GB2312" w:hAnsi="宋体" w:cs="宋体"/>
          <w:bCs/>
          <w:color w:val="auto"/>
          <w:kern w:val="0"/>
          <w:szCs w:val="24"/>
          <w:highlight w:val="none"/>
        </w:rPr>
        <w:t>%</w:t>
      </w:r>
    </w:p>
    <w:p w14:paraId="505AFFD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产品管理人对产品年化收益率</w:t>
      </w:r>
      <w:r>
        <w:rPr>
          <w:rFonts w:ascii="仿宋_GB2312" w:hAnsi="宋体" w:cs="宋体"/>
          <w:bCs/>
          <w:color w:val="auto"/>
          <w:kern w:val="0"/>
          <w:szCs w:val="24"/>
          <w:highlight w:val="none"/>
        </w:rPr>
        <w:t>超过</w:t>
      </w:r>
      <w:r>
        <w:rPr>
          <w:rFonts w:hint="eastAsia" w:ascii="仿宋_GB2312" w:hAnsi="宋体" w:cs="宋体"/>
          <w:bCs/>
          <w:color w:val="auto"/>
          <w:kern w:val="0"/>
          <w:szCs w:val="24"/>
          <w:highlight w:val="none"/>
        </w:rPr>
        <w:t>业绩报酬计提基准的部分，按业绩报酬分成比例</w:t>
      </w:r>
      <w:r>
        <w:rPr>
          <w:rFonts w:ascii="仿宋_GB2312" w:hAnsi="宋体" w:cs="宋体"/>
          <w:bCs/>
          <w:color w:val="auto"/>
          <w:kern w:val="0"/>
          <w:szCs w:val="24"/>
          <w:highlight w:val="none"/>
        </w:rPr>
        <w:t>以及产品份额持有天数</w:t>
      </w:r>
      <w:r>
        <w:rPr>
          <w:rFonts w:hint="eastAsia" w:ascii="仿宋_GB2312" w:hAnsi="宋体" w:cs="宋体"/>
          <w:bCs/>
          <w:color w:val="auto"/>
          <w:kern w:val="0"/>
          <w:szCs w:val="24"/>
          <w:highlight w:val="none"/>
        </w:rPr>
        <w:t>计提/收取</w:t>
      </w:r>
      <w:r>
        <w:rPr>
          <w:rFonts w:hint="eastAsia"/>
          <w:color w:val="auto"/>
          <w:highlight w:val="none"/>
        </w:rPr>
        <w:t>业绩报酬</w:t>
      </w:r>
      <w:r>
        <w:rPr>
          <w:rFonts w:hint="eastAsia" w:ascii="仿宋_GB2312" w:hAnsi="宋体" w:cs="宋体"/>
          <w:bCs/>
          <w:color w:val="auto"/>
          <w:kern w:val="0"/>
          <w:szCs w:val="24"/>
          <w:highlight w:val="none"/>
        </w:rPr>
        <w:t>，计算方法如下：</w:t>
      </w:r>
    </w:p>
    <w:p w14:paraId="0C27EC4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=0；</w:t>
      </w:r>
    </w:p>
    <w:p w14:paraId="62C16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当</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业绩报酬计提基准，可计提/收取</w:t>
      </w:r>
      <w:r>
        <w:rPr>
          <w:rFonts w:hint="eastAsia"/>
          <w:color w:val="auto"/>
          <w:highlight w:val="none"/>
        </w:rPr>
        <w:t>业绩报酬</w:t>
      </w:r>
      <w:r>
        <w:rPr>
          <w:rFonts w:ascii="仿宋_GB2312" w:hAnsi="宋体" w:cs="宋体"/>
          <w:bCs/>
          <w:color w:val="auto"/>
          <w:kern w:val="0"/>
          <w:szCs w:val="24"/>
          <w:highlight w:val="none"/>
        </w:rPr>
        <w:t>=</w:t>
      </w:r>
      <w:r>
        <w:rPr>
          <w:rFonts w:hint="eastAsia" w:ascii="仿宋_GB2312" w:hAnsi="宋体" w:cs="宋体"/>
          <w:bCs/>
          <w:color w:val="auto"/>
          <w:kern w:val="0"/>
          <w:szCs w:val="24"/>
          <w:highlight w:val="none"/>
        </w:rPr>
        <w:t>产品计提/到期日投资者持有的产品份额×V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R-</w:t>
      </w:r>
      <w:r>
        <w:rPr>
          <w:rFonts w:hint="eastAsia" w:ascii="仿宋_GB2312" w:hAnsi="宋体" w:cs="宋体"/>
          <w:bCs/>
          <w:color w:val="auto"/>
          <w:kern w:val="0"/>
          <w:szCs w:val="24"/>
          <w:highlight w:val="none"/>
        </w:rPr>
        <w:t>业绩报酬计提基准）×</w:t>
      </w:r>
      <w:r>
        <w:rPr>
          <w:rFonts w:ascii="仿宋_GB2312" w:hAnsi="宋体" w:cs="宋体"/>
          <w:bCs/>
          <w:color w:val="auto"/>
          <w:kern w:val="0"/>
          <w:szCs w:val="24"/>
          <w:highlight w:val="none"/>
        </w:rPr>
        <w:t>N×</w:t>
      </w:r>
      <w:r>
        <w:rPr>
          <w:rFonts w:hint="eastAsia" w:ascii="仿宋_GB2312" w:hAnsi="宋体" w:cs="宋体"/>
          <w:bCs/>
          <w:color w:val="auto"/>
          <w:kern w:val="0"/>
          <w:szCs w:val="24"/>
          <w:highlight w:val="none"/>
        </w:rPr>
        <w:t>（D</w:t>
      </w:r>
      <w:r>
        <w:rPr>
          <w:rFonts w:ascii="仿宋_GB2312" w:hAnsi="宋体" w:cs="宋体"/>
          <w:bCs/>
          <w:color w:val="auto"/>
          <w:kern w:val="0"/>
          <w:szCs w:val="24"/>
          <w:highlight w:val="none"/>
        </w:rPr>
        <w:t>+1</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/365。</w:t>
      </w:r>
    </w:p>
    <w:p w14:paraId="3931C1CD">
      <w:pPr>
        <w:widowControl/>
        <w:tabs>
          <w:tab w:val="left" w:pos="709"/>
        </w:tabs>
        <w:snapToGrid w:val="0"/>
        <w:spacing w:line="360" w:lineRule="auto"/>
        <w:ind w:firstLine="480" w:firstLineChars="200"/>
        <w:rPr>
          <w:rFonts w:hint="eastAsia" w:ascii="仿宋_GB2312" w:hAnsi="宋体" w:eastAsia="仿宋_GB2312" w:cs="宋体"/>
          <w:bCs/>
          <w:color w:val="auto"/>
          <w:kern w:val="0"/>
          <w:szCs w:val="24"/>
          <w:highlight w:val="none"/>
          <w:lang w:eastAsia="zh-CN"/>
        </w:rPr>
      </w:pPr>
      <w:r>
        <w:rPr>
          <w:rFonts w:hint="eastAsia" w:ascii="仿宋_GB2312" w:hAnsi="宋体" w:cs="宋体"/>
          <w:bCs/>
          <w:color w:val="auto"/>
          <w:kern w:val="0"/>
          <w:szCs w:val="24"/>
          <w:highlight w:val="none"/>
        </w:rPr>
        <w:t>其中，</w:t>
      </w:r>
      <w:r>
        <w:rPr>
          <w:rFonts w:ascii="仿宋_GB2312" w:hAnsi="宋体" w:cs="宋体"/>
          <w:bCs/>
          <w:color w:val="auto"/>
          <w:kern w:val="0"/>
          <w:szCs w:val="24"/>
          <w:highlight w:val="none"/>
        </w:rPr>
        <w:t>V</w:t>
      </w:r>
      <w:r>
        <w:rPr>
          <w:rFonts w:hint="eastAsia" w:ascii="仿宋_GB2312" w:hAnsi="宋体" w:cs="宋体"/>
          <w:bCs/>
          <w:color w:val="auto"/>
          <w:kern w:val="0"/>
          <w:sz w:val="13"/>
          <w:szCs w:val="24"/>
          <w:highlight w:val="none"/>
        </w:rPr>
        <w:t>计提/到期日产品份额累计净值</w:t>
      </w:r>
      <w:r>
        <w:rPr>
          <w:rFonts w:hint="eastAsia" w:ascii="仿宋_GB2312" w:hAnsi="宋体" w:cs="宋体"/>
          <w:bCs/>
          <w:color w:val="auto"/>
          <w:kern w:val="0"/>
          <w:szCs w:val="24"/>
          <w:highlight w:val="none"/>
        </w:rPr>
        <w:t>表示产品计提/到期日的产品份额累计净值（未扣除业绩报酬），V</w:t>
      </w:r>
      <w:r>
        <w:rPr>
          <w:rFonts w:hint="eastAsia" w:ascii="仿宋_GB2312" w:hAnsi="宋体" w:cs="宋体"/>
          <w:bCs/>
          <w:color w:val="auto"/>
          <w:kern w:val="0"/>
          <w:sz w:val="13"/>
          <w:szCs w:val="24"/>
          <w:highlight w:val="none"/>
        </w:rPr>
        <w:t>期初份额净值</w:t>
      </w:r>
      <w:r>
        <w:rPr>
          <w:rFonts w:hint="eastAsia" w:ascii="仿宋_GB2312" w:hAnsi="宋体" w:cs="宋体"/>
          <w:bCs/>
          <w:color w:val="auto"/>
          <w:kern w:val="0"/>
          <w:szCs w:val="24"/>
          <w:highlight w:val="none"/>
        </w:rPr>
        <w:t>表示产品成立日的产品份额净值，D表示产品到期日-产品成立日，N表示业绩报酬分成比例。</w:t>
      </w:r>
      <w:r>
        <w:rPr>
          <w:rFonts w:hint="eastAsia" w:ascii="仿宋_GB2312" w:hAnsi="宋体" w:cs="宋体"/>
          <w:bCs/>
          <w:color w:val="auto"/>
          <w:kern w:val="0"/>
          <w:szCs w:val="24"/>
          <w:highlight w:val="none"/>
          <w:lang w:eastAsia="zh-CN"/>
        </w:rPr>
        <w:t>】</w:t>
      </w:r>
    </w:p>
    <w:p w14:paraId="0F636A7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（5）理财产品的产品托管费</w:t>
      </w:r>
    </w:p>
    <w:p w14:paraId="4314394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本产品的产品托管费按前一日理财资产净值与产品托管费费率每日计提，</w:t>
      </w:r>
      <w:r>
        <w:rPr>
          <w:rFonts w:hint="eastAsia" w:ascii="仿宋_GB2312" w:hAnsi="宋体" w:cs="宋体"/>
          <w:bCs/>
          <w:color w:val="auto"/>
          <w:spacing w:val="-4"/>
          <w:kern w:val="0"/>
          <w:szCs w:val="24"/>
          <w:highlight w:val="none"/>
        </w:rPr>
        <w:t>管理人可按季或产品开放周期（如有）收取，或与后续季度、开放周期（如有）合并收取。</w:t>
      </w:r>
      <w:r>
        <w:rPr>
          <w:rFonts w:hint="eastAsia" w:ascii="仿宋_GB2312" w:hAnsi="宋体" w:cs="宋体"/>
          <w:bCs/>
          <w:color w:val="auto"/>
          <w:kern w:val="0"/>
          <w:szCs w:val="24"/>
          <w:highlight w:val="none"/>
        </w:rPr>
        <w:t>产品托管费</w:t>
      </w:r>
      <w:r>
        <w:rPr>
          <w:rFonts w:hint="eastAsia" w:ascii="仿宋_GB2312" w:hAnsi="宋体" w:cs="宋体"/>
          <w:bCs/>
          <w:color w:val="auto"/>
          <w:spacing w:val="-4"/>
          <w:kern w:val="0"/>
          <w:szCs w:val="24"/>
          <w:highlight w:val="none"/>
        </w:rPr>
        <w:t>精确到小数点后2位，小数点2位以后四舍五入</w:t>
      </w:r>
      <w:r>
        <w:rPr>
          <w:rFonts w:hint="eastAsia" w:ascii="仿宋_GB2312" w:hAnsi="宋体" w:cs="宋体"/>
          <w:bCs/>
          <w:color w:val="auto"/>
          <w:kern w:val="0"/>
          <w:szCs w:val="24"/>
          <w:highlight w:val="none"/>
        </w:rPr>
        <w:t>。</w:t>
      </w:r>
    </w:p>
    <w:p w14:paraId="4476D40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产品托管费的计算方法如下：</w:t>
      </w:r>
    </w:p>
    <w:p w14:paraId="62AC5F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H＝E×产品托管费年费率÷365</w:t>
      </w:r>
    </w:p>
    <w:p w14:paraId="2E8E99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H为每日应计提的产品托管费</w:t>
      </w:r>
    </w:p>
    <w:p w14:paraId="094FE01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E为前一日的理财资产净值</w:t>
      </w:r>
    </w:p>
    <w:p w14:paraId="603853C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产品托管费依照上述约定，从理财财产中支付。费率具体数值以《产品说明书》“第二节 理财产品基本情况”为准。</w:t>
      </w:r>
    </w:p>
    <w:p w14:paraId="105A86A1">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（6）其他费用</w:t>
      </w:r>
    </w:p>
    <w:p w14:paraId="10A91E7D">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与理财产品相关的其他费用，按照实际发生金额从产品资产中列支。若产品管理人先行垫付其他费用的，管理人有权从理财产品资产中优先受偿。</w:t>
      </w:r>
    </w:p>
    <w:p w14:paraId="07952C23">
      <w:pPr>
        <w:pStyle w:val="3"/>
        <w:ind w:firstLine="482"/>
        <w:rPr>
          <w:color w:val="auto"/>
          <w:highlight w:val="none"/>
        </w:rPr>
      </w:pPr>
      <w:r>
        <w:rPr>
          <w:rFonts w:hint="eastAsia"/>
          <w:color w:val="auto"/>
          <w:highlight w:val="none"/>
        </w:rPr>
        <w:t>费用调整</w:t>
      </w:r>
    </w:p>
    <w:p w14:paraId="072A0D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有权根据相关法律和国家政策规定，对理财产品费用的收费项目、收费条件、收费标准和收费方式等进行调整。产品管理人对费用的调整按本说明书约定的方式进行信息披露。投资者有权不接受调整，并按照信息披露内容中约定的方式提前赎回理财产品。</w:t>
      </w:r>
    </w:p>
    <w:p w14:paraId="126EFE4F">
      <w:pPr>
        <w:pStyle w:val="3"/>
        <w:tabs>
          <w:tab w:val="clear" w:pos="0"/>
        </w:tabs>
        <w:ind w:firstLine="482" w:firstLineChars="200"/>
        <w:rPr>
          <w:color w:val="auto"/>
          <w:highlight w:val="none"/>
        </w:rPr>
      </w:pPr>
      <w:r>
        <w:rPr>
          <w:rFonts w:hint="eastAsia"/>
          <w:color w:val="auto"/>
          <w:highlight w:val="none"/>
        </w:rPr>
        <w:t>税收说明</w:t>
      </w:r>
    </w:p>
    <w:p w14:paraId="069807E1">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本理财产品运作过程中涉及的各纳税主体的纳税义务按国家税收法律、法规执行。除法律法规特别要求外，理财产品运营过程中发生的增值税应税行为，由理财产品承担增值税及附加税费，并由理财产品管理人进行计算、申报和缴纳，该等税费将直接从理财产品财产中支付。后续国家法律法规如对相关税收政策进行调整，管理人有权根据税收政策相应调整理财产品运营过程中发生的税费的承担方式。理财收益的应纳税款以及其他的投资者应纳税款由投资者自行申报及缴纳，管理人不承担代扣代缴或纳税的义务。</w:t>
      </w:r>
    </w:p>
    <w:p w14:paraId="6A685334">
      <w:pPr>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br w:type="page"/>
      </w:r>
    </w:p>
    <w:p w14:paraId="191A95A3">
      <w:pPr>
        <w:pStyle w:val="2"/>
        <w:rPr>
          <w:color w:val="auto"/>
          <w:highlight w:val="none"/>
        </w:rPr>
      </w:pPr>
      <w:r>
        <w:rPr>
          <w:rFonts w:hint="eastAsia"/>
          <w:color w:val="auto"/>
          <w:highlight w:val="none"/>
        </w:rPr>
        <w:t>理财产品的终止与清算</w:t>
      </w:r>
    </w:p>
    <w:p w14:paraId="2B3273AF">
      <w:pPr>
        <w:pStyle w:val="3"/>
        <w:ind w:firstLine="482"/>
        <w:rPr>
          <w:color w:val="auto"/>
          <w:highlight w:val="none"/>
        </w:rPr>
      </w:pPr>
      <w:r>
        <w:rPr>
          <w:rFonts w:hint="eastAsia"/>
          <w:color w:val="auto"/>
          <w:highlight w:val="none"/>
        </w:rPr>
        <w:t>理财产品到期</w:t>
      </w:r>
    </w:p>
    <w:p w14:paraId="6680611A">
      <w:pPr>
        <w:widowControl/>
        <w:tabs>
          <w:tab w:val="left" w:pos="709"/>
        </w:tabs>
        <w:adjustRightInd w:val="0"/>
        <w:snapToGrid w:val="0"/>
        <w:spacing w:line="360" w:lineRule="auto"/>
        <w:ind w:firstLine="482" w:firstLineChars="200"/>
        <w:rPr>
          <w:rFonts w:ascii="仿宋_GB2312" w:hAnsi="宋体" w:cs="宋体"/>
          <w:bCs/>
          <w:color w:val="auto"/>
          <w:kern w:val="0"/>
          <w:szCs w:val="24"/>
          <w:highlight w:val="none"/>
        </w:rPr>
      </w:pPr>
      <w:r>
        <w:rPr>
          <w:rFonts w:hint="eastAsia" w:ascii="仿宋_GB2312" w:hAnsi="宋体" w:cs="宋体"/>
          <w:b/>
          <w:bCs/>
          <w:color w:val="auto"/>
          <w:kern w:val="0"/>
          <w:szCs w:val="24"/>
          <w:highlight w:val="none"/>
        </w:rPr>
        <w:t>本理财产品到期日【</w:t>
      </w:r>
      <w:r>
        <w:rPr>
          <w:rFonts w:hint="eastAsia" w:ascii="仿宋_GB2312" w:hAnsi="宋体" w:cs="宋体"/>
          <w:b/>
          <w:bCs/>
          <w:color w:val="auto"/>
          <w:kern w:val="0"/>
          <w:szCs w:val="24"/>
          <w:highlight w:val="none"/>
          <w:lang w:val="en-US" w:eastAsia="zh-CN"/>
        </w:rPr>
        <w:t>2027</w:t>
      </w:r>
      <w:r>
        <w:rPr>
          <w:rFonts w:hint="eastAsia" w:ascii="仿宋_GB2312" w:hAnsi="宋体" w:cs="宋体"/>
          <w:b/>
          <w:bCs/>
          <w:color w:val="auto"/>
          <w:kern w:val="0"/>
          <w:szCs w:val="24"/>
          <w:highlight w:val="none"/>
        </w:rPr>
        <w:t>】年【</w:t>
      </w:r>
      <w:r>
        <w:rPr>
          <w:rFonts w:hint="eastAsia" w:ascii="仿宋_GB2312" w:hAnsi="宋体" w:cs="宋体"/>
          <w:b/>
          <w:bCs/>
          <w:color w:val="auto"/>
          <w:kern w:val="0"/>
          <w:szCs w:val="24"/>
          <w:highlight w:val="none"/>
          <w:lang w:val="en-US" w:eastAsia="zh-CN"/>
        </w:rPr>
        <w:t>7</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月</w:t>
      </w:r>
      <w:r>
        <w:rPr>
          <w:rFonts w:hint="eastAsia" w:ascii="仿宋_GB2312" w:hAnsi="宋体" w:cs="宋体"/>
          <w:b/>
          <w:bCs/>
          <w:color w:val="auto"/>
          <w:kern w:val="0"/>
          <w:szCs w:val="24"/>
          <w:highlight w:val="none"/>
        </w:rPr>
        <w:t>【</w:t>
      </w:r>
      <w:r>
        <w:rPr>
          <w:rFonts w:hint="eastAsia" w:ascii="仿宋_GB2312" w:hAnsi="宋体" w:cs="宋体"/>
          <w:b/>
          <w:bCs/>
          <w:color w:val="auto"/>
          <w:kern w:val="0"/>
          <w:szCs w:val="24"/>
          <w:highlight w:val="none"/>
          <w:lang w:val="en-US" w:eastAsia="zh-CN"/>
        </w:rPr>
        <w:t>7</w:t>
      </w:r>
      <w:r>
        <w:rPr>
          <w:rFonts w:hint="eastAsia" w:ascii="仿宋_GB2312" w:hAnsi="宋体" w:cs="宋体"/>
          <w:b/>
          <w:bCs/>
          <w:color w:val="auto"/>
          <w:kern w:val="0"/>
          <w:szCs w:val="24"/>
          <w:highlight w:val="none"/>
        </w:rPr>
        <w:t>】</w:t>
      </w:r>
      <w:r>
        <w:rPr>
          <w:rFonts w:ascii="仿宋_GB2312" w:hAnsi="宋体" w:cs="宋体"/>
          <w:b/>
          <w:bCs/>
          <w:color w:val="auto"/>
          <w:kern w:val="0"/>
          <w:szCs w:val="24"/>
          <w:highlight w:val="none"/>
        </w:rPr>
        <w:t>日</w:t>
      </w:r>
      <w:r>
        <w:rPr>
          <w:rFonts w:hint="eastAsia" w:ascii="仿宋_GB2312" w:hAnsi="宋体" w:cs="宋体"/>
          <w:bCs/>
          <w:color w:val="auto"/>
          <w:kern w:val="0"/>
          <w:szCs w:val="24"/>
          <w:highlight w:val="none"/>
        </w:rPr>
        <w:t>，</w:t>
      </w:r>
      <w:r>
        <w:rPr>
          <w:rFonts w:hint="eastAsia" w:ascii="宋体" w:hAnsi="宋体"/>
          <w:color w:val="auto"/>
          <w:szCs w:val="24"/>
          <w:highlight w:val="none"/>
        </w:rPr>
        <w:t>如产品提前终止或延期终止，除有特别约定外，实际终止日为到期日。</w:t>
      </w:r>
      <w:r>
        <w:rPr>
          <w:rFonts w:hint="eastAsia" w:ascii="仿宋_GB2312" w:hAnsi="宋体" w:cs="宋体"/>
          <w:bCs/>
          <w:color w:val="auto"/>
          <w:kern w:val="0"/>
          <w:szCs w:val="24"/>
          <w:highlight w:val="none"/>
        </w:rPr>
        <w:t xml:space="preserve"> </w:t>
      </w:r>
    </w:p>
    <w:p w14:paraId="1335115A">
      <w:pPr>
        <w:widowControl/>
        <w:tabs>
          <w:tab w:val="left" w:pos="709"/>
        </w:tabs>
        <w:adjustRightInd w:val="0"/>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理财产品不因投资者死亡、丧失民事行为能力、破产而终止；投资者的法定继承人、承继人或指定受益人以及继任管理人承担本理财产品销售文件项下的相应权利和义务，产品管理人以及代销机构有权要求投资者的继承人或者指定受益人等相关主体配合办理相关变更手续。</w:t>
      </w:r>
    </w:p>
    <w:p w14:paraId="20A352F2">
      <w:pPr>
        <w:pStyle w:val="3"/>
        <w:ind w:firstLine="482"/>
        <w:rPr>
          <w:color w:val="auto"/>
          <w:highlight w:val="none"/>
        </w:rPr>
      </w:pPr>
      <w:r>
        <w:rPr>
          <w:rFonts w:hint="eastAsia"/>
          <w:color w:val="auto"/>
          <w:highlight w:val="none"/>
        </w:rPr>
        <w:t>理财产品提前终止</w:t>
      </w:r>
    </w:p>
    <w:p w14:paraId="10092276">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本理财产品存续期间，投资者无提前终止权。如出现以下情形，管理人有权但无义务提前终止本产品：</w:t>
      </w:r>
      <w:r>
        <w:rPr>
          <w:rFonts w:ascii="仿宋_GB2312" w:hAnsi="宋体" w:cs="宋体"/>
          <w:b/>
          <w:bCs/>
          <w:color w:val="auto"/>
          <w:kern w:val="0"/>
          <w:szCs w:val="24"/>
          <w:highlight w:val="none"/>
        </w:rPr>
        <w:t xml:space="preserve"> </w:t>
      </w:r>
    </w:p>
    <w:p w14:paraId="1DB79EB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1.自然灾害、疫情、金融市场危机、战争等不可抗力因素及/或意外事件导致理财产品无法继续运作。</w:t>
      </w:r>
    </w:p>
    <w:p w14:paraId="6D716F53">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2.遇有市场出现剧烈波动、异常风险事件等情形导致理财产品收益出现大幅波动或严重影响理财产品的资产安全。</w:t>
      </w:r>
    </w:p>
    <w:p w14:paraId="5D811EF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3.因投资者理财资金被有权机关扣划等原因导致理财产品剩余资产无法满足相关法律法规规定、所投资市场要求或协议等相</w:t>
      </w:r>
      <w:r>
        <w:rPr>
          <w:rFonts w:hint="eastAsia" w:ascii="仿宋_GB2312" w:hAnsi="宋体" w:cs="宋体"/>
          <w:bCs/>
          <w:color w:val="auto"/>
          <w:kern w:val="0"/>
          <w:szCs w:val="24"/>
          <w:highlight w:val="none"/>
          <w:lang w:val="en-US" w:eastAsia="zh-CN"/>
        </w:rPr>
        <w:tab/>
      </w:r>
      <w:r>
        <w:rPr>
          <w:rFonts w:hint="eastAsia" w:ascii="仿宋_GB2312" w:hAnsi="宋体" w:cs="宋体"/>
          <w:bCs/>
          <w:color w:val="auto"/>
          <w:kern w:val="0"/>
          <w:szCs w:val="24"/>
          <w:highlight w:val="none"/>
        </w:rPr>
        <w:t>关法律文件约定，或者继续存续无法实现投资目标。</w:t>
      </w:r>
    </w:p>
    <w:p w14:paraId="3A51EEE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4.因相关投资管理机构解散、破产、撤销、被取消业务资格等原因无法继续履行相应职责导致产品无法继续运作。</w:t>
      </w:r>
    </w:p>
    <w:p w14:paraId="1B92589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5.相关投资管理机构或运用理财资金的第三方主体实施符合法律法规规定或协议等相关文件约定的行为导致理财产品被动提前终止。</w:t>
      </w:r>
    </w:p>
    <w:p w14:paraId="392E8D9A">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6.因法律法规变化或国家金融政策调整、紧急措施出台影响产品继续正常运作。</w:t>
      </w:r>
    </w:p>
    <w:p w14:paraId="10D33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7.提前终止产品比维持产品运作更有利于保护产品持有人的权益。</w:t>
      </w:r>
    </w:p>
    <w:p w14:paraId="7465D3BE">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8.遇国家政策出现重大调整并影响到本产品的正常运行。</w:t>
      </w:r>
    </w:p>
    <w:p w14:paraId="502F6D2D">
      <w:pPr>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9.因本产品投资的资产部分或全部提前终止或发生其他影响本产品正常投资运作的重大事件。</w:t>
      </w:r>
    </w:p>
    <w:p w14:paraId="52E146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10.本产品存续期内，所投资资产种类已全部调整为现金资产且无其他投资安排。</w:t>
      </w:r>
    </w:p>
    <w:p w14:paraId="50BE78A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11.管理人认为有必要提前终止本产品的其他情形。</w:t>
      </w:r>
    </w:p>
    <w:p w14:paraId="6E74C756">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管理人将于提前终止日前2个</w:t>
      </w:r>
      <w:r>
        <w:rPr>
          <w:rFonts w:hint="eastAsia" w:ascii="宋体" w:hAnsi="宋体"/>
          <w:b/>
          <w:color w:val="auto"/>
          <w:szCs w:val="24"/>
          <w:highlight w:val="none"/>
        </w:rPr>
        <w:t>工作日</w:t>
      </w:r>
      <w:r>
        <w:rPr>
          <w:rFonts w:hint="eastAsia" w:ascii="仿宋_GB2312" w:hAnsi="宋体" w:cs="宋体"/>
          <w:bCs/>
          <w:color w:val="auto"/>
          <w:kern w:val="0"/>
          <w:szCs w:val="24"/>
          <w:highlight w:val="none"/>
        </w:rPr>
        <w:t>通过本产品说明书约定</w:t>
      </w:r>
      <w:r>
        <w:rPr>
          <w:rFonts w:ascii="仿宋_GB2312" w:hAnsi="宋体" w:cs="宋体"/>
          <w:bCs/>
          <w:color w:val="auto"/>
          <w:kern w:val="0"/>
          <w:szCs w:val="24"/>
          <w:highlight w:val="none"/>
        </w:rPr>
        <w:t>方式</w:t>
      </w:r>
      <w:r>
        <w:rPr>
          <w:rFonts w:hint="eastAsia" w:ascii="仿宋_GB2312" w:hAnsi="宋体" w:cs="宋体"/>
          <w:bCs/>
          <w:color w:val="auto"/>
          <w:kern w:val="0"/>
          <w:szCs w:val="24"/>
          <w:highlight w:val="none"/>
        </w:rPr>
        <w:t>发布本产品提前终止公告，并于提前终止日后5个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内将兑付理财资金划至投资者指定账户。</w:t>
      </w:r>
    </w:p>
    <w:p w14:paraId="5022F5CE">
      <w:pPr>
        <w:pStyle w:val="3"/>
        <w:ind w:firstLine="482"/>
        <w:rPr>
          <w:color w:val="auto"/>
          <w:highlight w:val="none"/>
        </w:rPr>
      </w:pPr>
      <w:r>
        <w:rPr>
          <w:rFonts w:hint="eastAsia" w:ascii="楷体_GB2312" w:hAnsi="宋体" w:eastAsia="楷体_GB2312" w:cs="宋体"/>
          <w:bCs/>
          <w:color w:val="auto"/>
          <w:kern w:val="0"/>
          <w:szCs w:val="24"/>
          <w:highlight w:val="none"/>
        </w:rPr>
        <w:t>理财产品到期清算</w:t>
      </w:r>
    </w:p>
    <w:p w14:paraId="4642CA6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1.清算程序</w:t>
      </w:r>
    </w:p>
    <w:p w14:paraId="2E90469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产品到期（含提前终止）后，理财产品终止运作，本理财产品</w:t>
      </w:r>
      <w:r>
        <w:rPr>
          <w:color w:val="auto"/>
          <w:highlight w:val="none"/>
        </w:rPr>
        <w:t>管</w:t>
      </w:r>
      <w:r>
        <w:rPr>
          <w:rFonts w:hint="eastAsia" w:ascii="仿宋_GB2312" w:hAnsi="宋体" w:cs="宋体"/>
          <w:bCs/>
          <w:color w:val="auto"/>
          <w:kern w:val="0"/>
          <w:szCs w:val="24"/>
          <w:highlight w:val="none"/>
        </w:rPr>
        <w:t>理人启动产品清算，理财资产清</w:t>
      </w:r>
      <w:r>
        <w:rPr>
          <w:rFonts w:ascii="仿宋_GB2312" w:hAnsi="宋体" w:cs="宋体"/>
          <w:bCs/>
          <w:color w:val="auto"/>
          <w:kern w:val="0"/>
          <w:szCs w:val="24"/>
          <w:highlight w:val="none"/>
        </w:rPr>
        <w:t>算后扣除理财相关费用、缴纳所欠税款并清偿理财产品负债后，</w:t>
      </w:r>
      <w:r>
        <w:rPr>
          <w:rFonts w:hint="eastAsia"/>
          <w:color w:val="auto"/>
          <w:highlight w:val="none"/>
        </w:rPr>
        <w:t>管</w:t>
      </w:r>
      <w:r>
        <w:rPr>
          <w:rFonts w:hint="eastAsia" w:ascii="仿宋_GB2312" w:hAnsi="宋体" w:cs="宋体"/>
          <w:bCs/>
          <w:color w:val="auto"/>
          <w:kern w:val="0"/>
          <w:szCs w:val="24"/>
          <w:highlight w:val="none"/>
        </w:rPr>
        <w:t>理人通过销售机构将投资者应得资金（如有，下同）划至投资者指定账户。本产品到期时，如本产品项下财产全部变现，管理人将在产品到期后5个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w:t>
      </w:r>
      <w:r>
        <w:rPr>
          <w:rFonts w:hint="eastAsia" w:ascii="仿宋_GB2312" w:hAnsi="宋体" w:cs="宋体"/>
          <w:b/>
          <w:bCs/>
          <w:color w:val="auto"/>
          <w:kern w:val="0"/>
          <w:szCs w:val="24"/>
          <w:highlight w:val="none"/>
        </w:rPr>
        <w:t>产品到期日/终止日至资金</w:t>
      </w:r>
      <w:r>
        <w:rPr>
          <w:rFonts w:ascii="仿宋_GB2312" w:hAnsi="宋体" w:cs="宋体"/>
          <w:b/>
          <w:bCs/>
          <w:color w:val="auto"/>
          <w:kern w:val="0"/>
          <w:szCs w:val="24"/>
          <w:highlight w:val="none"/>
        </w:rPr>
        <w:t>到账</w:t>
      </w:r>
      <w:r>
        <w:rPr>
          <w:rFonts w:hint="eastAsia" w:ascii="仿宋_GB2312" w:hAnsi="宋体" w:cs="宋体"/>
          <w:b/>
          <w:bCs/>
          <w:color w:val="auto"/>
          <w:kern w:val="0"/>
          <w:szCs w:val="24"/>
          <w:highlight w:val="none"/>
        </w:rPr>
        <w:t>日期间，投资者理财资金如因清算安排实际产生利息的，相关利息归投资者所有。</w:t>
      </w:r>
    </w:p>
    <w:p w14:paraId="264B531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如因清算需要，本产品无法在到期后5个</w:t>
      </w:r>
      <w:r>
        <w:rPr>
          <w:rFonts w:hint="eastAsia" w:ascii="宋体" w:hAnsi="宋体"/>
          <w:b/>
          <w:color w:val="auto"/>
          <w:szCs w:val="24"/>
          <w:highlight w:val="none"/>
          <w:lang w:eastAsia="zh-CN"/>
        </w:rPr>
        <w:t>工作日</w:t>
      </w:r>
      <w:r>
        <w:rPr>
          <w:rFonts w:hint="eastAsia" w:ascii="仿宋_GB2312" w:hAnsi="宋体" w:cs="宋体"/>
          <w:bCs/>
          <w:color w:val="auto"/>
          <w:kern w:val="0"/>
          <w:szCs w:val="24"/>
          <w:highlight w:val="none"/>
        </w:rPr>
        <w:t>内向投资者完成</w:t>
      </w:r>
      <w:r>
        <w:rPr>
          <w:rFonts w:ascii="仿宋_GB2312" w:hAnsi="宋体" w:cs="宋体"/>
          <w:bCs/>
          <w:color w:val="auto"/>
          <w:kern w:val="0"/>
          <w:szCs w:val="24"/>
          <w:highlight w:val="none"/>
        </w:rPr>
        <w:t>分配</w:t>
      </w:r>
      <w:r>
        <w:rPr>
          <w:rFonts w:hint="eastAsia" w:ascii="仿宋_GB2312" w:hAnsi="宋体" w:cs="宋体"/>
          <w:bCs/>
          <w:color w:val="auto"/>
          <w:kern w:val="0"/>
          <w:szCs w:val="24"/>
          <w:highlight w:val="none"/>
        </w:rPr>
        <w:t>的，管理人有权延后产品可得资金分配并于产品到期日前公告。</w:t>
      </w:r>
    </w:p>
    <w:p w14:paraId="3D36EBEF">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2.清算费用分别按照实际发生费用从产品资产中列支。</w:t>
      </w:r>
    </w:p>
    <w:p w14:paraId="67A43E9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3.产品资产清算剩余资产的分配</w:t>
      </w:r>
    </w:p>
    <w:p w14:paraId="471F488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产品资产按下列顺序清偿：</w:t>
      </w:r>
    </w:p>
    <w:p w14:paraId="07DC583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（1）支付清算费用和交纳所欠税款；</w:t>
      </w:r>
    </w:p>
    <w:p w14:paraId="19EFDAF4">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（2）清偿产品债务；</w:t>
      </w:r>
    </w:p>
    <w:p w14:paraId="2C0548A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（3）按产品份额持有人持有的产品份额比例进行分配。</w:t>
      </w:r>
    </w:p>
    <w:p w14:paraId="14EB77B5">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4.产品终止投资者到账资金计算</w:t>
      </w:r>
    </w:p>
    <w:p w14:paraId="5EB251F9">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若产品终止或提前终止时本理财产品项下资产全部变现，产品管理人将</w:t>
      </w:r>
      <w:r>
        <w:rPr>
          <w:rFonts w:hint="eastAsia" w:ascii="仿宋_GB2312" w:hAnsi="宋体" w:cs="宋体"/>
          <w:bCs/>
          <w:color w:val="auto"/>
          <w:kern w:val="0"/>
          <w:szCs w:val="24"/>
          <w:highlight w:val="none"/>
        </w:rPr>
        <w:t>扣除理财产品财产清算费用、缴纳所欠税款并清偿理财产品债务后，按照各投资者持有理财产品份额占理财产品总份额的比例于</w:t>
      </w:r>
      <w:r>
        <w:rPr>
          <w:rFonts w:ascii="仿宋_GB2312" w:hAnsi="宋体" w:cs="宋体"/>
          <w:bCs/>
          <w:color w:val="auto"/>
          <w:kern w:val="0"/>
          <w:szCs w:val="24"/>
          <w:highlight w:val="none"/>
        </w:rPr>
        <w:t>产品到期日后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内或提前终止日后</w:t>
      </w:r>
      <w:r>
        <w:rPr>
          <w:rFonts w:hint="eastAsia" w:ascii="仿宋_GB2312" w:hAnsi="宋体" w:cs="宋体"/>
          <w:bCs/>
          <w:color w:val="auto"/>
          <w:kern w:val="0"/>
          <w:szCs w:val="24"/>
          <w:highlight w:val="none"/>
        </w:rPr>
        <w:t>5</w:t>
      </w:r>
      <w:r>
        <w:rPr>
          <w:rFonts w:ascii="仿宋_GB2312" w:hAnsi="宋体" w:cs="宋体"/>
          <w:bCs/>
          <w:color w:val="auto"/>
          <w:kern w:val="0"/>
          <w:szCs w:val="24"/>
          <w:highlight w:val="none"/>
        </w:rPr>
        <w:t>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内将投资者应得资金划转投资者指定账户。计算公式如下：</w:t>
      </w:r>
    </w:p>
    <w:p w14:paraId="79BBE4E8">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本产品兑付金额(理财产品总资产净值)=理财产品资产总值-理财产品负债总值</w:t>
      </w:r>
    </w:p>
    <w:p w14:paraId="5E4E9A40">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其中，投资者到账金额为：</w:t>
      </w:r>
    </w:p>
    <w:p w14:paraId="0603320C">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本产品投资者到账金额=投资者在到期日持有理财产品份额/理财产品总份额*理财产品总资产净值，</w:t>
      </w:r>
      <w:r>
        <w:rPr>
          <w:rFonts w:ascii="仿宋_GB2312" w:hAnsi="宋体" w:cs="宋体"/>
          <w:bCs/>
          <w:color w:val="auto"/>
          <w:kern w:val="0"/>
          <w:szCs w:val="24"/>
          <w:highlight w:val="none"/>
        </w:rPr>
        <w:t>最终资金以实际到账为准。</w:t>
      </w:r>
    </w:p>
    <w:p w14:paraId="255B1ABB">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ascii="仿宋_GB2312" w:hAnsi="宋体" w:cs="宋体"/>
          <w:bCs/>
          <w:color w:val="auto"/>
          <w:kern w:val="0"/>
          <w:szCs w:val="24"/>
          <w:highlight w:val="none"/>
        </w:rPr>
        <w:t>产品终止日，如产品投资资产因市场风险、信用风险以及监管风险等原因不能全部变现且产品管理人未对本产品进行延期则本产品进入延期清算程序。产品延期清算时，产品管理人将提前发布相关公告。产品管理人将产品持有的现金类资产在扣除支付清算费用和交纳所欠税款、清偿产品债务后，如仍有剩余资金</w:t>
      </w:r>
      <w:r>
        <w:rPr>
          <w:rFonts w:hint="eastAsia" w:ascii="仿宋_GB2312" w:hAnsi="宋体" w:cs="宋体"/>
          <w:bCs/>
          <w:color w:val="auto"/>
          <w:kern w:val="0"/>
          <w:szCs w:val="24"/>
          <w:highlight w:val="none"/>
        </w:rPr>
        <w:t>，</w:t>
      </w:r>
      <w:r>
        <w:rPr>
          <w:rFonts w:ascii="仿宋_GB2312" w:hAnsi="宋体" w:cs="宋体"/>
          <w:bCs/>
          <w:color w:val="auto"/>
          <w:kern w:val="0"/>
          <w:szCs w:val="24"/>
          <w:highlight w:val="none"/>
        </w:rPr>
        <w:t>可</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。对于未变现资产部分，产品管理人以投资者利益最大化的原则，寻求未变现资产变现方式，在资产变现后，产品持有的现金类资产在扣除剩余未支付的清算费用和交纳所欠税款、清偿产品债务后，</w:t>
      </w:r>
      <w:r>
        <w:rPr>
          <w:rFonts w:hint="eastAsia" w:ascii="仿宋_GB2312" w:hAnsi="宋体" w:cs="宋体"/>
          <w:bCs/>
          <w:color w:val="auto"/>
          <w:kern w:val="0"/>
          <w:szCs w:val="24"/>
          <w:highlight w:val="none"/>
        </w:rPr>
        <w:t>按照各投资者持有理财产品份额占理财产品总份额的比例</w:t>
      </w:r>
      <w:r>
        <w:rPr>
          <w:rFonts w:ascii="仿宋_GB2312" w:hAnsi="宋体" w:cs="宋体"/>
          <w:bCs/>
          <w:color w:val="auto"/>
          <w:kern w:val="0"/>
          <w:szCs w:val="24"/>
          <w:highlight w:val="none"/>
        </w:rPr>
        <w:t>于产品清算完毕后的5个</w:t>
      </w:r>
      <w:r>
        <w:rPr>
          <w:rFonts w:hint="eastAsia" w:ascii="宋体" w:hAnsi="宋体"/>
          <w:b/>
          <w:color w:val="auto"/>
          <w:szCs w:val="24"/>
          <w:highlight w:val="none"/>
          <w:lang w:eastAsia="zh-CN"/>
        </w:rPr>
        <w:t>工作日</w:t>
      </w:r>
      <w:r>
        <w:rPr>
          <w:rFonts w:ascii="仿宋_GB2312" w:hAnsi="宋体" w:cs="宋体"/>
          <w:bCs/>
          <w:color w:val="auto"/>
          <w:kern w:val="0"/>
          <w:szCs w:val="24"/>
          <w:highlight w:val="none"/>
        </w:rPr>
        <w:t>内分配给</w:t>
      </w:r>
      <w:r>
        <w:rPr>
          <w:rFonts w:hint="eastAsia" w:ascii="仿宋_GB2312" w:hAnsi="宋体" w:cs="宋体"/>
          <w:bCs/>
          <w:color w:val="auto"/>
          <w:kern w:val="0"/>
          <w:szCs w:val="24"/>
          <w:highlight w:val="none"/>
        </w:rPr>
        <w:t>投资者</w:t>
      </w:r>
      <w:r>
        <w:rPr>
          <w:rFonts w:ascii="仿宋_GB2312" w:hAnsi="宋体" w:cs="宋体"/>
          <w:bCs/>
          <w:color w:val="auto"/>
          <w:kern w:val="0"/>
          <w:szCs w:val="24"/>
          <w:highlight w:val="none"/>
        </w:rPr>
        <w:t>。</w:t>
      </w:r>
    </w:p>
    <w:p w14:paraId="002BA157">
      <w:pPr>
        <w:widowControl/>
        <w:tabs>
          <w:tab w:val="left" w:pos="709"/>
        </w:tabs>
        <w:snapToGrid w:val="0"/>
        <w:spacing w:line="360" w:lineRule="auto"/>
        <w:ind w:firstLine="480" w:firstLineChars="200"/>
        <w:rPr>
          <w:rFonts w:ascii="仿宋_GB2312" w:hAnsi="宋体" w:cs="宋体"/>
          <w:bCs/>
          <w:color w:val="auto"/>
          <w:kern w:val="0"/>
          <w:szCs w:val="24"/>
          <w:highlight w:val="none"/>
        </w:rPr>
      </w:pPr>
      <w:r>
        <w:rPr>
          <w:rFonts w:hint="eastAsia" w:ascii="仿宋_GB2312" w:hAnsi="宋体" w:cs="宋体"/>
          <w:bCs/>
          <w:color w:val="auto"/>
          <w:kern w:val="0"/>
          <w:szCs w:val="24"/>
          <w:highlight w:val="none"/>
        </w:rPr>
        <w:t>产品管理人拟进行二次或多次清算的，管理人应向投资者及时披露。</w:t>
      </w:r>
    </w:p>
    <w:p w14:paraId="0FB90027">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5.产品正常终止时，投资者到账资金示例</w:t>
      </w:r>
    </w:p>
    <w:p w14:paraId="7CED2B90">
      <w:pPr>
        <w:widowControl/>
        <w:tabs>
          <w:tab w:val="left" w:pos="709"/>
        </w:tabs>
        <w:snapToGrid w:val="0"/>
        <w:spacing w:line="360" w:lineRule="auto"/>
        <w:ind w:firstLine="480" w:firstLineChars="200"/>
        <w:jc w:val="left"/>
        <w:rPr>
          <w:rFonts w:ascii="仿宋_GB2312" w:hAnsi="宋体" w:cs="宋体"/>
          <w:bCs/>
          <w:color w:val="auto"/>
          <w:kern w:val="0"/>
          <w:szCs w:val="24"/>
          <w:highlight w:val="none"/>
        </w:rPr>
      </w:pPr>
      <w:r>
        <w:rPr>
          <w:rFonts w:hint="eastAsia" w:ascii="仿宋_GB2312" w:hAnsi="宋体" w:cs="宋体"/>
          <w:bCs/>
          <w:color w:val="auto"/>
          <w:kern w:val="0"/>
          <w:szCs w:val="24"/>
          <w:highlight w:val="none"/>
        </w:rPr>
        <w:t>假设当理财产品正常终止时，某客户持有10万份本产品份额，产品初始份额净值为1.0000元/份，折算份额为100000份。如本产品募集份额55000000份，期限为91天，扣除固定费用、浮动费用及税款（若有）后，理财产品总资产净值为55817260.27元，客户最终收到资金为：</w:t>
      </w:r>
      <w:r>
        <w:rPr>
          <w:rFonts w:ascii="仿宋_GB2312" w:hAnsi="宋体" w:cs="宋体"/>
          <w:bCs/>
          <w:color w:val="auto"/>
          <w:kern w:val="0"/>
          <w:szCs w:val="24"/>
          <w:highlight w:val="none"/>
        </w:rPr>
        <w:t>100000/55000000*55817260.27=101485.92元。</w:t>
      </w:r>
    </w:p>
    <w:p w14:paraId="0042E13B">
      <w:pPr>
        <w:widowControl/>
        <w:jc w:val="left"/>
        <w:rPr>
          <w:rFonts w:ascii="仿宋_GB2312" w:hAnsi="宋体" w:cs="宋体"/>
          <w:bCs/>
          <w:color w:val="auto"/>
          <w:kern w:val="0"/>
          <w:szCs w:val="24"/>
          <w:highlight w:val="none"/>
        </w:rPr>
      </w:pPr>
      <w:r>
        <w:rPr>
          <w:rFonts w:ascii="仿宋_GB2312" w:hAnsi="宋体" w:cs="宋体"/>
          <w:bCs/>
          <w:color w:val="auto"/>
          <w:kern w:val="0"/>
          <w:szCs w:val="24"/>
          <w:highlight w:val="none"/>
        </w:rPr>
        <w:br w:type="page"/>
      </w:r>
    </w:p>
    <w:p w14:paraId="4C8AE41F">
      <w:pPr>
        <w:pStyle w:val="2"/>
        <w:rPr>
          <w:color w:val="auto"/>
          <w:highlight w:val="none"/>
        </w:rPr>
      </w:pPr>
      <w:r>
        <w:rPr>
          <w:rFonts w:hint="eastAsia"/>
          <w:color w:val="auto"/>
          <w:highlight w:val="none"/>
        </w:rPr>
        <w:t>理财产品的信息披露</w:t>
      </w:r>
    </w:p>
    <w:p w14:paraId="09918181">
      <w:pPr>
        <w:pStyle w:val="3"/>
        <w:ind w:firstLine="482"/>
        <w:rPr>
          <w:color w:val="auto"/>
          <w:highlight w:val="none"/>
        </w:rPr>
      </w:pPr>
      <w:r>
        <w:rPr>
          <w:rFonts w:hint="eastAsia"/>
          <w:color w:val="auto"/>
          <w:highlight w:val="none"/>
        </w:rPr>
        <w:t>信息披露方式</w:t>
      </w:r>
    </w:p>
    <w:p w14:paraId="630E6932">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本理财产品将通过产品管理人官方网站【</w:t>
      </w:r>
      <w:r>
        <w:rPr>
          <w:rFonts w:ascii="仿宋_GB2312" w:hAnsi="宋体" w:cs="宋体"/>
          <w:b/>
          <w:color w:val="auto"/>
          <w:kern w:val="0"/>
          <w:szCs w:val="24"/>
          <w:highlight w:val="none"/>
        </w:rPr>
        <w:t>www.czbank-wm.com</w:t>
      </w:r>
      <w:r>
        <w:rPr>
          <w:rFonts w:hint="eastAsia" w:ascii="仿宋_GB2312" w:hAnsi="宋体" w:cs="宋体"/>
          <w:b/>
          <w:color w:val="auto"/>
          <w:kern w:val="0"/>
          <w:szCs w:val="24"/>
          <w:highlight w:val="none"/>
        </w:rPr>
        <w:t>】、销售机构官方网站、个人手机银行或其他约定的方式等一种或多种渠道进行信息披露。相关信息自披露之日即视为已送达投资者，也视为产品管理人已适当披露理财产品相关信息。投资者应及时查看，以免因未及时获知信息而错过资金使用和再投资的机会。若由于投资者原因未能及时登陆产品管理人官方网站、销售机构信息披露渠道获取披露信息，所造成的后果将由投资者自行承担，产品管理人不承担相应责任。</w:t>
      </w:r>
    </w:p>
    <w:p w14:paraId="79D47D4C">
      <w:pPr>
        <w:pStyle w:val="3"/>
        <w:ind w:firstLine="482"/>
        <w:rPr>
          <w:color w:val="auto"/>
          <w:highlight w:val="none"/>
        </w:rPr>
      </w:pPr>
      <w:r>
        <w:rPr>
          <w:rFonts w:hint="eastAsia"/>
          <w:color w:val="auto"/>
          <w:highlight w:val="none"/>
        </w:rPr>
        <w:t>信息披露内容</w:t>
      </w:r>
    </w:p>
    <w:p w14:paraId="173D992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1.产品类型、募集信息、产品净值、产品规模、收益情况；</w:t>
      </w:r>
    </w:p>
    <w:p w14:paraId="703E5773">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2.产品直接和间接投资的资产种类、投资比例、</w:t>
      </w:r>
      <w:r>
        <w:rPr>
          <w:rFonts w:hint="eastAsia" w:ascii="仿宋_GB2312" w:hAnsi="宋体" w:cs="宋体"/>
          <w:b/>
          <w:color w:val="auto"/>
          <w:kern w:val="0"/>
          <w:szCs w:val="24"/>
          <w:highlight w:val="none"/>
          <w:lang w:val="zh-CN"/>
        </w:rPr>
        <w:t>前十项资产具体名称、规模和比例等信息、</w:t>
      </w:r>
      <w:r>
        <w:rPr>
          <w:rFonts w:hint="eastAsia" w:ascii="仿宋_GB2312" w:hAnsi="宋体" w:cs="宋体"/>
          <w:b/>
          <w:color w:val="auto"/>
          <w:kern w:val="0"/>
          <w:szCs w:val="24"/>
          <w:highlight w:val="none"/>
        </w:rPr>
        <w:t>杠杆水平以及流动性风险分析；</w:t>
      </w:r>
    </w:p>
    <w:p w14:paraId="6A7F637E">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3.产品估值方法、托管安排；</w:t>
      </w:r>
    </w:p>
    <w:p w14:paraId="4A17CD5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4.产品收益分配、各项费用情况及主要投资风险；</w:t>
      </w:r>
    </w:p>
    <w:p w14:paraId="3EF16919">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5.如本理财产品投资于理财产品管理人或托管机构的主要股东、实际控制人、一致行动人、最终受益人，托管机构，同一股东或托管机构控股的机构，或者与理财产品管理人或托管机构有重大利害关系的机构，以及国家金融监督管理机构关于关联交易管理相关规定中涉及的其他关联方发行或承销的证券、发行的资产管理产品，或者从事其他关联交易的，应当在理财产品管理人官方网站或者行业统一渠道披露关联交易信息，在理财产品管理人年报中披露当年关联交易总体情况，并应向投资者充分披露。</w:t>
      </w:r>
    </w:p>
    <w:p w14:paraId="073D1DEA">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6</w:t>
      </w:r>
      <w:r>
        <w:rPr>
          <w:rFonts w:hint="eastAsia" w:ascii="仿宋_GB2312" w:hAnsi="宋体" w:cs="宋体"/>
          <w:b/>
          <w:color w:val="auto"/>
          <w:kern w:val="0"/>
          <w:szCs w:val="24"/>
          <w:highlight w:val="none"/>
        </w:rPr>
        <w:t>.其他影响本产品投资运作的重大事项、突发事件、临时性信息披露等。</w:t>
      </w:r>
    </w:p>
    <w:p w14:paraId="37DC6A45">
      <w:pPr>
        <w:pStyle w:val="3"/>
        <w:ind w:firstLine="482"/>
        <w:rPr>
          <w:color w:val="auto"/>
          <w:highlight w:val="none"/>
        </w:rPr>
      </w:pPr>
      <w:r>
        <w:rPr>
          <w:rFonts w:hint="eastAsia"/>
          <w:color w:val="auto"/>
          <w:highlight w:val="none"/>
        </w:rPr>
        <w:t>信息披露频率</w:t>
      </w:r>
    </w:p>
    <w:p w14:paraId="0E58151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1.发行公告：本产品成立后5个工作日（含）内，将发布本理财产品成立公告；如</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管理人决定本理财产品募集期延长，将于原定成立日前发布理财产品募集期延长公告；</w:t>
      </w:r>
      <w:r>
        <w:rPr>
          <w:rFonts w:hint="eastAsia" w:ascii="仿宋_GB2312" w:hAnsi="宋体" w:cs="宋体"/>
          <w:color w:val="auto"/>
          <w:kern w:val="0"/>
          <w:szCs w:val="24"/>
          <w:highlight w:val="none"/>
        </w:rPr>
        <w:t>产品</w:t>
      </w:r>
      <w:r>
        <w:rPr>
          <w:rFonts w:ascii="仿宋_GB2312" w:hAnsi="宋体" w:cs="宋体"/>
          <w:color w:val="auto"/>
          <w:kern w:val="0"/>
          <w:szCs w:val="24"/>
          <w:highlight w:val="none"/>
        </w:rPr>
        <w:t>管理人决定本理财产品不成立，将在理财产品原定成立日后的2个工作日（含）内发布理财产品不成立公告。</w:t>
      </w:r>
    </w:p>
    <w:p w14:paraId="5026DE17">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2.定期公告：本产品在每个季度结束之日起15</w:t>
      </w:r>
      <w:r>
        <w:rPr>
          <w:rFonts w:hint="eastAsia" w:ascii="仿宋_GB2312" w:hAnsi="宋体" w:cs="宋体"/>
          <w:color w:val="auto"/>
          <w:kern w:val="0"/>
          <w:szCs w:val="24"/>
          <w:highlight w:val="none"/>
        </w:rPr>
        <w:t>个工作日内、上半年结束之日起</w:t>
      </w:r>
      <w:r>
        <w:rPr>
          <w:rFonts w:ascii="仿宋_GB2312" w:hAnsi="宋体" w:cs="宋体"/>
          <w:color w:val="auto"/>
          <w:kern w:val="0"/>
          <w:szCs w:val="24"/>
          <w:highlight w:val="none"/>
        </w:rPr>
        <w:t>60</w:t>
      </w:r>
      <w:r>
        <w:rPr>
          <w:rFonts w:hint="eastAsia" w:ascii="仿宋_GB2312" w:hAnsi="宋体" w:cs="宋体"/>
          <w:color w:val="auto"/>
          <w:kern w:val="0"/>
          <w:szCs w:val="24"/>
          <w:highlight w:val="none"/>
        </w:rPr>
        <w:t>个工作日内、每年结束之日起</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个工作日内，披露本产品季度、半年和年度报告等定期报告。产品成立不足</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个工作日或者剩余存续期不超过</w:t>
      </w:r>
      <w:r>
        <w:rPr>
          <w:rFonts w:ascii="仿宋_GB2312" w:hAnsi="宋体" w:cs="宋体"/>
          <w:color w:val="auto"/>
          <w:kern w:val="0"/>
          <w:szCs w:val="24"/>
          <w:highlight w:val="none"/>
        </w:rPr>
        <w:t>90</w:t>
      </w:r>
      <w:r>
        <w:rPr>
          <w:rFonts w:hint="eastAsia" w:ascii="仿宋_GB2312" w:hAnsi="宋体" w:cs="宋体"/>
          <w:color w:val="auto"/>
          <w:kern w:val="0"/>
          <w:szCs w:val="24"/>
          <w:highlight w:val="none"/>
        </w:rPr>
        <w:t>个工作日的，将不编制本产品当期的季度、半年和年度报告。定期报告将披露理财产品组合资产情况及其流动性风险分析等。</w:t>
      </w:r>
    </w:p>
    <w:p w14:paraId="6DE94A9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3.到期公告：本产品在终止后5</w:t>
      </w:r>
      <w:r>
        <w:rPr>
          <w:rFonts w:hint="eastAsia" w:ascii="仿宋_GB2312" w:hAnsi="宋体" w:cs="宋体"/>
          <w:color w:val="auto"/>
          <w:kern w:val="0"/>
          <w:szCs w:val="24"/>
          <w:highlight w:val="none"/>
        </w:rPr>
        <w:t>个工作日内，披露本产品到期公告，包括理财产品的存续期限、终止日期、收费情况和收益分配情况等信息。本产品终止后5个工作日内，产品管理人发布产品到期公告。</w:t>
      </w:r>
    </w:p>
    <w:p w14:paraId="32A83160">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如果产品管理人提前或</w:t>
      </w:r>
      <w:r>
        <w:rPr>
          <w:rFonts w:ascii="仿宋_GB2312" w:hAnsi="宋体" w:cs="宋体"/>
          <w:color w:val="auto"/>
          <w:kern w:val="0"/>
          <w:szCs w:val="24"/>
          <w:highlight w:val="none"/>
        </w:rPr>
        <w:t>延后</w:t>
      </w:r>
      <w:r>
        <w:rPr>
          <w:rFonts w:hint="eastAsia" w:ascii="仿宋_GB2312" w:hAnsi="宋体" w:cs="宋体"/>
          <w:color w:val="auto"/>
          <w:kern w:val="0"/>
          <w:szCs w:val="24"/>
          <w:highlight w:val="none"/>
        </w:rPr>
        <w:t>终止本产品，产品管理人将提前2个工作日进行公告。</w:t>
      </w:r>
    </w:p>
    <w:p w14:paraId="5A4C9D76">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4.产品</w:t>
      </w:r>
      <w:r>
        <w:rPr>
          <w:rFonts w:hint="eastAsia" w:ascii="仿宋_GB2312" w:hAnsi="宋体" w:cs="宋体"/>
          <w:color w:val="auto"/>
          <w:kern w:val="0"/>
          <w:szCs w:val="24"/>
          <w:highlight w:val="none"/>
        </w:rPr>
        <w:t>估值日公告：本产品存续期内，</w:t>
      </w:r>
      <w:r>
        <w:rPr>
          <w:rFonts w:hint="eastAsia" w:ascii="仿宋_GB2312" w:hAnsi="宋体" w:cs="宋体"/>
          <w:b/>
          <w:color w:val="auto"/>
          <w:kern w:val="0"/>
          <w:szCs w:val="24"/>
          <w:highlight w:val="none"/>
        </w:rPr>
        <w:t>每【周】</w:t>
      </w:r>
      <w:r>
        <w:rPr>
          <w:rFonts w:hint="eastAsia" w:ascii="仿宋_GB2312" w:hAnsi="宋体" w:cs="宋体"/>
          <w:color w:val="auto"/>
          <w:kern w:val="0"/>
          <w:szCs w:val="24"/>
          <w:highlight w:val="none"/>
        </w:rPr>
        <w:t>向投资者披露一次估值日公告</w:t>
      </w:r>
      <w:r>
        <w:rPr>
          <w:rFonts w:ascii="宋体" w:hAnsi="宋体"/>
          <w:b/>
          <w:color w:val="auto"/>
          <w:szCs w:val="24"/>
          <w:highlight w:val="none"/>
        </w:rPr>
        <w:t>(如遇特殊情况以产品管理人</w:t>
      </w:r>
      <w:r>
        <w:rPr>
          <w:rFonts w:hint="eastAsia" w:ascii="宋体" w:hAnsi="宋体"/>
          <w:b/>
          <w:color w:val="auto"/>
          <w:szCs w:val="24"/>
          <w:highlight w:val="none"/>
        </w:rPr>
        <w:t>披露</w:t>
      </w:r>
      <w:r>
        <w:rPr>
          <w:rFonts w:ascii="宋体" w:hAnsi="宋体"/>
          <w:b/>
          <w:color w:val="auto"/>
          <w:szCs w:val="24"/>
          <w:highlight w:val="none"/>
        </w:rPr>
        <w:t>为准)</w:t>
      </w:r>
      <w:r>
        <w:rPr>
          <w:rFonts w:hint="eastAsia" w:ascii="仿宋_GB2312" w:hAnsi="宋体" w:cs="宋体"/>
          <w:color w:val="auto"/>
          <w:kern w:val="0"/>
          <w:szCs w:val="24"/>
          <w:highlight w:val="none"/>
        </w:rPr>
        <w:t>，估值日公告披露的内容包括估值日的产品份额净值、产品份额累计净值等。如遇法定节假日顺延。如遇产品到期日、季度末、半年度末、年度末等时间节点，产品管理人将增加估值日。此外，如遇其他特殊情况，以产品管理人信息披露为准。</w:t>
      </w:r>
    </w:p>
    <w:p w14:paraId="57DD10D1">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ascii="仿宋_GB2312" w:hAnsi="宋体" w:cs="宋体"/>
          <w:b/>
          <w:color w:val="auto"/>
          <w:kern w:val="0"/>
          <w:szCs w:val="24"/>
          <w:highlight w:val="none"/>
        </w:rPr>
        <w:t>5.</w:t>
      </w:r>
      <w:r>
        <w:rPr>
          <w:rFonts w:hint="eastAsia" w:ascii="仿宋_GB2312" w:hAnsi="宋体" w:cs="宋体"/>
          <w:b/>
          <w:color w:val="auto"/>
          <w:kern w:val="0"/>
          <w:szCs w:val="24"/>
          <w:highlight w:val="none"/>
        </w:rPr>
        <w:t>如发生可能对本产品投资者或者产品收益产生重大影响的事件，将在事件发生后2个工作日（含）内发布重大事项公告。如有相关国家法律、法规或监管部门规定的其他需要信息披露的情形，产品管理人将按其规定进行信息披露。</w:t>
      </w:r>
    </w:p>
    <w:p w14:paraId="3364B15C">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ascii="仿宋_GB2312" w:hAnsi="宋体" w:cs="宋体"/>
          <w:color w:val="auto"/>
          <w:kern w:val="0"/>
          <w:szCs w:val="24"/>
          <w:highlight w:val="none"/>
        </w:rPr>
        <w:t>6.</w:t>
      </w:r>
      <w:r>
        <w:rPr>
          <w:rFonts w:hint="eastAsia" w:ascii="仿宋_GB2312" w:hAnsi="宋体" w:cs="宋体"/>
          <w:color w:val="auto"/>
          <w:kern w:val="0"/>
          <w:szCs w:val="24"/>
          <w:highlight w:val="none"/>
        </w:rPr>
        <w:t>产品临时公告</w:t>
      </w:r>
    </w:p>
    <w:p w14:paraId="7E5D9CBF">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1</w:t>
      </w:r>
      <w:r>
        <w:rPr>
          <w:rFonts w:hint="eastAsia" w:ascii="仿宋_GB2312" w:hAnsi="宋体" w:cs="宋体"/>
          <w:color w:val="auto"/>
          <w:kern w:val="0"/>
          <w:szCs w:val="24"/>
          <w:highlight w:val="none"/>
        </w:rPr>
        <w:t>）产品管理人对投资范围、投资资产种类、投资比例、估值方法、收费项目、收费条件、收费标准、收费方式、业绩比较基准（如有）、业绩报酬计提基准（如有）等保留调整的权利，如发生调整，调整后的要素以产品管理人发布的公告中所载明的内容为准。产品管理人将提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个工作日发布公告。</w:t>
      </w:r>
    </w:p>
    <w:p w14:paraId="752E10A4">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2）在发生产品管理人拒绝或暂停接受投资者认购申请、暂停理财产品估值等情形时，产品管理人将于3</w:t>
      </w:r>
      <w:r>
        <w:rPr>
          <w:rFonts w:hint="eastAsia" w:ascii="仿宋_GB2312" w:hAnsi="宋体" w:cs="宋体"/>
          <w:color w:val="auto"/>
          <w:kern w:val="0"/>
          <w:szCs w:val="24"/>
          <w:highlight w:val="none"/>
        </w:rPr>
        <w:t>个工作日内告知投资者，并说明运用相关措施的原因和拟采取的应对安排等。在发生涉及产品认购事项调整时，产品管理人应</w:t>
      </w:r>
      <w:r>
        <w:rPr>
          <w:rFonts w:ascii="仿宋_GB2312" w:hAnsi="宋体" w:cs="宋体"/>
          <w:color w:val="auto"/>
          <w:kern w:val="0"/>
          <w:szCs w:val="24"/>
          <w:highlight w:val="none"/>
        </w:rPr>
        <w:t>提前</w:t>
      </w:r>
      <w:r>
        <w:rPr>
          <w:rFonts w:hint="eastAsia" w:ascii="仿宋_GB2312" w:hAnsi="宋体" w:cs="宋体"/>
          <w:color w:val="auto"/>
          <w:kern w:val="0"/>
          <w:szCs w:val="24"/>
          <w:highlight w:val="none"/>
        </w:rPr>
        <w:t>2个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发布临时公告。</w:t>
      </w:r>
    </w:p>
    <w:p w14:paraId="52AA5A3A">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3）理财产品清算期超过5</w:t>
      </w:r>
      <w:r>
        <w:rPr>
          <w:rFonts w:hint="eastAsia" w:ascii="仿宋_GB2312" w:hAnsi="宋体" w:cs="宋体"/>
          <w:color w:val="auto"/>
          <w:kern w:val="0"/>
          <w:szCs w:val="24"/>
          <w:highlight w:val="none"/>
        </w:rPr>
        <w:t>个工作日的，产品管理人应当在理财产品终止前</w:t>
      </w:r>
      <w:r>
        <w:rPr>
          <w:rFonts w:ascii="仿宋_GB2312" w:hAnsi="宋体" w:cs="宋体"/>
          <w:color w:val="auto"/>
          <w:kern w:val="0"/>
          <w:szCs w:val="24"/>
          <w:highlight w:val="none"/>
        </w:rPr>
        <w:t>2</w:t>
      </w:r>
      <w:r>
        <w:rPr>
          <w:rFonts w:hint="eastAsia" w:ascii="仿宋_GB2312" w:hAnsi="宋体" w:cs="宋体"/>
          <w:color w:val="auto"/>
          <w:kern w:val="0"/>
          <w:szCs w:val="24"/>
          <w:highlight w:val="none"/>
        </w:rPr>
        <w:t>个</w:t>
      </w:r>
      <w:r>
        <w:rPr>
          <w:rFonts w:ascii="仿宋_GB2312" w:hAnsi="宋体" w:cs="宋体"/>
          <w:color w:val="auto"/>
          <w:kern w:val="0"/>
          <w:szCs w:val="24"/>
          <w:highlight w:val="none"/>
        </w:rPr>
        <w:t>工作日</w:t>
      </w:r>
      <w:r>
        <w:rPr>
          <w:rFonts w:hint="eastAsia" w:ascii="仿宋_GB2312" w:hAnsi="宋体" w:cs="宋体"/>
          <w:color w:val="auto"/>
          <w:kern w:val="0"/>
          <w:szCs w:val="24"/>
          <w:highlight w:val="none"/>
        </w:rPr>
        <w:t>，根据与投资者约定的渠道向投资者进行信息披露。</w:t>
      </w:r>
    </w:p>
    <w:p w14:paraId="68521FFF">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4）在本产品存续期内，如因国家法律法规、监管规定发生变化，或是出于维护本产品正常运营的需要，在不损害投资者权益的前提下，产品管理人有权对理财产品销售文件进行修订，并提前2个工作日进行公告。</w:t>
      </w:r>
    </w:p>
    <w:p w14:paraId="60CD1663">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w:t>
      </w:r>
      <w:r>
        <w:rPr>
          <w:rFonts w:ascii="仿宋_GB2312" w:hAnsi="宋体" w:cs="宋体"/>
          <w:color w:val="auto"/>
          <w:kern w:val="0"/>
          <w:szCs w:val="24"/>
          <w:highlight w:val="none"/>
        </w:rPr>
        <w:t>5）其他临时性公告</w:t>
      </w:r>
    </w:p>
    <w:p w14:paraId="228AB4E5">
      <w:pPr>
        <w:widowControl/>
        <w:tabs>
          <w:tab w:val="left" w:pos="709"/>
        </w:tabs>
        <w:adjustRightInd w:val="0"/>
        <w:snapToGrid w:val="0"/>
        <w:spacing w:line="360" w:lineRule="auto"/>
        <w:ind w:firstLine="480" w:firstLineChars="200"/>
        <w:rPr>
          <w:rFonts w:ascii="仿宋_GB2312" w:hAnsi="宋体" w:cs="宋体"/>
          <w:color w:val="auto"/>
          <w:kern w:val="0"/>
          <w:szCs w:val="24"/>
          <w:highlight w:val="none"/>
        </w:rPr>
      </w:pPr>
      <w:r>
        <w:rPr>
          <w:rFonts w:hint="eastAsia" w:ascii="仿宋_GB2312" w:hAnsi="宋体" w:cs="宋体"/>
          <w:color w:val="auto"/>
          <w:kern w:val="0"/>
          <w:szCs w:val="24"/>
          <w:highlight w:val="none"/>
        </w:rPr>
        <w:t>除前述事项外，如出现产品</w:t>
      </w:r>
      <w:r>
        <w:rPr>
          <w:rFonts w:ascii="仿宋_GB2312" w:hAnsi="宋体" w:cs="宋体"/>
          <w:color w:val="auto"/>
          <w:kern w:val="0"/>
          <w:szCs w:val="24"/>
          <w:highlight w:val="none"/>
        </w:rPr>
        <w:t>二次清算</w:t>
      </w:r>
      <w:r>
        <w:rPr>
          <w:rFonts w:hint="eastAsia" w:ascii="仿宋_GB2312" w:hAnsi="宋体" w:cs="宋体"/>
          <w:color w:val="auto"/>
          <w:kern w:val="0"/>
          <w:szCs w:val="24"/>
          <w:highlight w:val="none"/>
        </w:rPr>
        <w:t>等其他突发事件，需在事件发生后2个</w:t>
      </w:r>
      <w:r>
        <w:rPr>
          <w:rFonts w:ascii="仿宋_GB2312" w:hAnsi="宋体" w:cs="宋体"/>
          <w:color w:val="auto"/>
          <w:kern w:val="0"/>
          <w:szCs w:val="24"/>
          <w:highlight w:val="none"/>
        </w:rPr>
        <w:t>工作日内</w:t>
      </w:r>
      <w:r>
        <w:rPr>
          <w:rFonts w:hint="eastAsia" w:ascii="仿宋_GB2312" w:hAnsi="宋体" w:cs="宋体"/>
          <w:color w:val="auto"/>
          <w:kern w:val="0"/>
          <w:szCs w:val="24"/>
          <w:highlight w:val="none"/>
        </w:rPr>
        <w:t>及时进行披露。</w:t>
      </w:r>
    </w:p>
    <w:p w14:paraId="2D05748B">
      <w:pPr>
        <w:widowControl/>
        <w:tabs>
          <w:tab w:val="left" w:pos="709"/>
        </w:tabs>
        <w:adjustRightInd w:val="0"/>
        <w:snapToGrid w:val="0"/>
        <w:spacing w:line="360" w:lineRule="auto"/>
        <w:ind w:firstLine="482" w:firstLineChars="200"/>
        <w:rPr>
          <w:rFonts w:ascii="仿宋_GB2312" w:hAnsi="宋体" w:cs="宋体"/>
          <w:b/>
          <w:color w:val="auto"/>
          <w:kern w:val="0"/>
          <w:szCs w:val="24"/>
          <w:highlight w:val="none"/>
        </w:rPr>
      </w:pPr>
      <w:r>
        <w:rPr>
          <w:rFonts w:hint="eastAsia" w:ascii="仿宋_GB2312" w:hAnsi="宋体" w:cs="宋体"/>
          <w:b/>
          <w:color w:val="auto"/>
          <w:kern w:val="0"/>
          <w:szCs w:val="24"/>
          <w:highlight w:val="none"/>
        </w:rPr>
        <w:t>在本产品存续期内，当产品管理人对理财产品进行相应调整（包括调整投资范围、投资资产种类、投资比例或收费项目、收费条件、收费标准、收费方式等）时，若构成对投资者利益产生实质性不利影响或涉及当事人权利义务的重大变更的，投资者有权不接受调整，在符合法律法规及监管政策的前提下，可由产品管理人决定投资者提前赎回的方式，并通过公告进行披露。若投资者未选择赎回本产品的，则视为已理解并接受产品管理人的相应调整。</w:t>
      </w:r>
    </w:p>
    <w:p w14:paraId="029D4640">
      <w:pPr>
        <w:widowControl/>
        <w:rPr>
          <w:rFonts w:ascii="仿宋_GB2312" w:hAnsi="宋体" w:cs="宋体"/>
          <w:b/>
          <w:color w:val="auto"/>
          <w:kern w:val="0"/>
          <w:szCs w:val="24"/>
          <w:highlight w:val="none"/>
        </w:rPr>
      </w:pPr>
      <w:r>
        <w:rPr>
          <w:rFonts w:hint="eastAsia" w:ascii="仿宋_GB2312" w:hAnsi="宋体" w:cs="宋体"/>
          <w:b/>
          <w:color w:val="auto"/>
          <w:kern w:val="0"/>
          <w:szCs w:val="24"/>
          <w:highlight w:val="none"/>
        </w:rPr>
        <w:br w:type="page"/>
      </w:r>
    </w:p>
    <w:p w14:paraId="7FE77C36">
      <w:pPr>
        <w:pStyle w:val="2"/>
        <w:rPr>
          <w:color w:val="auto"/>
          <w:highlight w:val="none"/>
        </w:rPr>
      </w:pPr>
      <w:r>
        <w:rPr>
          <w:rFonts w:hint="eastAsia"/>
          <w:color w:val="auto"/>
          <w:highlight w:val="none"/>
        </w:rPr>
        <w:t>特别提示</w:t>
      </w:r>
    </w:p>
    <w:p w14:paraId="756980A0">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若本理财产品所投资资产到期不能全部偿付导致资产减值甚至本金大幅损失，则浙银理财将以产品管理人名义，代表投资者利益行使诉讼权利或者实施其他法律行为。</w:t>
      </w:r>
    </w:p>
    <w:p w14:paraId="7333F274">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对投资者信息负有保密义务，不得无故向任何组织、个人提供或泄露与投资者有关的业务资料及信息。产品管理人向确有知悉必要的雇员提供投资者信息，或按照有关法律、法规、监管要求向司法机关、行政机关等有关政府部门、投资合作机构及第三方专业机构提供的，不视为对保密义务的违反。</w:t>
      </w:r>
    </w:p>
    <w:p w14:paraId="54E8EC0C">
      <w:pPr>
        <w:widowControl/>
        <w:tabs>
          <w:tab w:val="left" w:pos="709"/>
        </w:tabs>
        <w:snapToGrid w:val="0"/>
        <w:spacing w:line="360" w:lineRule="auto"/>
        <w:ind w:firstLine="482" w:firstLineChars="200"/>
        <w:rPr>
          <w:rFonts w:ascii="仿宋_GB2312" w:hAnsi="宋体" w:cs="宋体"/>
          <w:b/>
          <w:bCs/>
          <w:color w:val="auto"/>
          <w:kern w:val="0"/>
          <w:szCs w:val="24"/>
          <w:highlight w:val="none"/>
        </w:rPr>
      </w:pPr>
      <w:r>
        <w:rPr>
          <w:rFonts w:hint="eastAsia" w:ascii="仿宋_GB2312" w:hAnsi="宋体" w:cs="宋体"/>
          <w:b/>
          <w:bCs/>
          <w:color w:val="auto"/>
          <w:kern w:val="0"/>
          <w:szCs w:val="24"/>
          <w:highlight w:val="none"/>
        </w:rPr>
        <w:t>产品管理人根据适用的法律法规和监管机构要求，向监管机构和/或其他有权机关（包括但不限于理财登记中心数据交换平台）报送投资者身份信息及投资者持有本产品份额及其变动情况等相关信息。产品管理人对向监管机构和/或监管机构指定机构报送的相关信息负有保密义务,并在报送信息过程中,采取有效措施确保信息安全与保密。</w:t>
      </w:r>
    </w:p>
    <w:p w14:paraId="72F007E9">
      <w:pPr>
        <w:widowControl/>
        <w:tabs>
          <w:tab w:val="left" w:pos="709"/>
        </w:tabs>
        <w:snapToGrid w:val="0"/>
        <w:spacing w:line="360" w:lineRule="auto"/>
        <w:ind w:firstLine="480" w:firstLineChars="200"/>
        <w:rPr>
          <w:rFonts w:ascii="仿宋_GB2312" w:hAnsi="宋体" w:cs="宋体"/>
          <w:b/>
          <w:bCs/>
          <w:color w:val="auto"/>
          <w:kern w:val="0"/>
          <w:szCs w:val="24"/>
          <w:highlight w:val="none"/>
        </w:rPr>
      </w:pPr>
      <w:r>
        <w:rPr>
          <w:rFonts w:hint="eastAsia"/>
          <w:color w:val="auto"/>
          <w:highlight w:val="none"/>
        </w:rPr>
        <w:t>本产品的转让将依照理财产品销售文件及销售机构的业务政策执行。</w:t>
      </w:r>
    </w:p>
    <w:p w14:paraId="735C5673">
      <w:pPr>
        <w:tabs>
          <w:tab w:val="left" w:pos="709"/>
        </w:tabs>
        <w:snapToGrid w:val="0"/>
        <w:spacing w:line="360" w:lineRule="auto"/>
        <w:ind w:firstLine="480" w:firstLineChars="200"/>
        <w:rPr>
          <w:color w:val="auto"/>
          <w:highlight w:val="none"/>
        </w:rPr>
      </w:pPr>
      <w:r>
        <w:rPr>
          <w:rFonts w:hint="eastAsia" w:ascii="仿宋_GB2312" w:hAnsi="宋体" w:cs="宋体"/>
          <w:bCs/>
          <w:color w:val="auto"/>
          <w:kern w:val="0"/>
          <w:szCs w:val="24"/>
          <w:highlight w:val="none"/>
        </w:rPr>
        <w:t>投资者对本理财产品有任何意见或异议，</w:t>
      </w:r>
      <w:r>
        <w:rPr>
          <w:rFonts w:hint="eastAsia" w:ascii="仿宋_GB2312" w:cs="宋体" w:hAnsiTheme="minorEastAsia"/>
          <w:bCs/>
          <w:color w:val="auto"/>
          <w:kern w:val="0"/>
          <w:szCs w:val="32"/>
          <w:highlight w:val="none"/>
        </w:rPr>
        <w:t>敬请联系您的销售服务机构，具体联系方式以《产品说明书》等销售文件的披露为准；或反馈至浙银理财服务电话：0571-57192881。</w:t>
      </w:r>
    </w:p>
    <w:p w14:paraId="595CD37B">
      <w:pPr>
        <w:widowControl/>
        <w:tabs>
          <w:tab w:val="left" w:pos="709"/>
        </w:tabs>
        <w:snapToGrid w:val="0"/>
        <w:spacing w:line="360" w:lineRule="auto"/>
        <w:ind w:firstLine="0" w:firstLineChars="0"/>
        <w:rPr>
          <w:rFonts w:ascii="仿宋_GB2312" w:hAnsi="宋体" w:cs="宋体"/>
          <w:bCs/>
          <w:color w:val="auto"/>
          <w:kern w:val="0"/>
          <w:szCs w:val="24"/>
          <w:highlight w:val="none"/>
        </w:rPr>
      </w:pPr>
    </w:p>
    <w:p w14:paraId="0EC58318">
      <w:pPr>
        <w:widowControl/>
        <w:jc w:val="left"/>
        <w:rPr>
          <w:color w:val="auto"/>
          <w:szCs w:val="24"/>
          <w:highlight w:val="none"/>
        </w:rPr>
      </w:pPr>
    </w:p>
    <w:sectPr>
      <w:headerReference r:id="rId3" w:type="default"/>
      <w:footerReference r:id="rId4" w:type="default"/>
      <w:pgSz w:w="11906" w:h="16838"/>
      <w:pgMar w:top="720" w:right="720" w:bottom="720" w:left="720" w:header="680" w:footer="992"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Wingdings 2">
    <w:panose1 w:val="05020102010507070707"/>
    <w:charset w:val="00"/>
    <w:family w:val="auto"/>
    <w:pitch w:val="default"/>
    <w:sig w:usb0="00000000" w:usb1="00000000" w:usb2="00000000" w:usb3="00000000" w:csb0="80000000" w:csb1="00000000"/>
  </w:font>
  <w:font w:name="东文宋体">
    <w:altName w:val="宋体"/>
    <w:panose1 w:val="00000000000000000000"/>
    <w:charset w:val="00"/>
    <w:family w:val="auto"/>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5C44C">
    <w:pPr>
      <w:pStyle w:val="1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33</w:t>
    </w:r>
    <w:r>
      <w:rPr>
        <w:b/>
        <w:bCs/>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8FE88">
    <w:pPr>
      <w:pStyle w:val="14"/>
      <w:spacing w:line="276" w:lineRule="auto"/>
      <w:jc w:val="left"/>
      <w:rPr>
        <w:rFonts w:ascii="宋体" w:hAnsi="宋体" w:eastAsia="宋体"/>
        <w:b/>
        <w:sz w:val="24"/>
        <w:szCs w:val="21"/>
      </w:rPr>
    </w:pPr>
    <w:r>
      <w:rPr>
        <w:rFonts w:hint="eastAsia" w:ascii="宋体" w:hAnsi="宋体" w:eastAsia="宋体"/>
        <w:b/>
        <w:sz w:val="24"/>
        <w:szCs w:val="21"/>
      </w:rPr>
      <w:t>理财非存款</w:t>
    </w:r>
    <w:r>
      <w:rPr>
        <w:rFonts w:ascii="宋体" w:hAnsi="宋体" w:eastAsia="宋体"/>
        <w:b/>
        <w:sz w:val="24"/>
        <w:szCs w:val="21"/>
      </w:rPr>
      <w:t xml:space="preserve"> </w:t>
    </w:r>
    <w:r>
      <w:rPr>
        <w:rFonts w:hint="eastAsia" w:ascii="宋体" w:hAnsi="宋体" w:eastAsia="宋体"/>
        <w:b/>
        <w:sz w:val="24"/>
        <w:szCs w:val="21"/>
      </w:rPr>
      <w:t>产品有风险</w:t>
    </w:r>
    <w:r>
      <w:rPr>
        <w:rFonts w:ascii="宋体" w:hAnsi="宋体" w:eastAsia="宋体"/>
        <w:b/>
        <w:sz w:val="24"/>
        <w:szCs w:val="21"/>
      </w:rPr>
      <w:t xml:space="preserve"> </w:t>
    </w:r>
    <w:r>
      <w:rPr>
        <w:rFonts w:hint="eastAsia" w:ascii="宋体" w:hAnsi="宋体" w:eastAsia="宋体"/>
        <w:b/>
        <w:sz w:val="24"/>
        <w:szCs w:val="21"/>
      </w:rPr>
      <w:t>投资须谨慎</w:t>
    </w:r>
    <w:r>
      <w:rPr>
        <w:rFonts w:ascii="宋体" w:hAnsi="宋体" w:eastAsia="宋体"/>
        <w:b/>
        <w:sz w:val="24"/>
        <w:szCs w:val="21"/>
      </w:rPr>
      <w:t xml:space="preserve"> </w:t>
    </w:r>
    <w:r>
      <w:rPr>
        <w:b/>
        <w:sz w:val="24"/>
        <w:szCs w:val="21"/>
      </w:rPr>
      <w:t xml:space="preserve"> </w:t>
    </w:r>
    <w:r>
      <w:rPr>
        <w:rFonts w:hint="eastAsia"/>
        <w:b/>
        <w:sz w:val="21"/>
        <w:szCs w:val="21"/>
      </w:rPr>
      <w:t xml:space="preserve">                    </w:t>
    </w:r>
    <w:r>
      <w:rPr>
        <w:b/>
        <w:sz w:val="21"/>
        <w:szCs w:val="21"/>
      </w:rPr>
      <w:t xml:space="preserve">         </w:t>
    </w:r>
    <w:r>
      <w:rPr>
        <w:rFonts w:hint="eastAsia"/>
        <w:b/>
        <w:sz w:val="21"/>
        <w:szCs w:val="21"/>
      </w:rPr>
      <w:t xml:space="preserve"> </w:t>
    </w:r>
    <w:r>
      <w:rPr>
        <w:b/>
        <w:sz w:val="21"/>
        <w:szCs w:val="21"/>
      </w:rPr>
      <w:t xml:space="preserve">                    </w:t>
    </w:r>
    <w:r>
      <w:rPr>
        <w:rFonts w:hint="eastAsia" w:ascii="宋体" w:hAnsi="宋体" w:eastAsia="宋体"/>
        <w:b/>
        <w:sz w:val="24"/>
        <w:szCs w:val="21"/>
      </w:rPr>
      <w:t>浙银理财</w:t>
    </w:r>
    <w:r>
      <w:pict>
        <v:shape id="ImpTraceLabel01f24a5666b437d1193b837c63dcab0d@" o:spid="_x0000_s4097" o:spt="202" type="#_x0000_t202" style="position:absolute;left:0pt;margin-left:0pt;margin-top:0pt;height:0pt;width:0pt;mso-position-horizontal-relative:page;mso-position-vertical-relative:page;z-index:251659264;mso-width-relative:page;mso-height-relative:page;" filled="f" stroked="f" coordsize="21600,21600">
          <v:path/>
          <v:fill on="f" focussize="0,0"/>
          <v:stroke on="f" joinstyle="miter"/>
          <v:imagedata o:title=""/>
          <o:lock v:ext="edit"/>
          <v:textbox>
            <w:txbxContent>
              <w:p w14:paraId="351C2859">
                <w:r>
                  <w:t>ImpTraceLabel01f24a5666b437d1193b837c63dcab0d@=dGltZT0xNzc2ODI3ODg4MDAwfHdhdGVyTWFya0luZm895L+d5a+GfGZpbGVOYW1lPea1memTtueQhui0oueQrueugOWvjOaYpTE0NuWPt+eQhui0ouS6p+WTgeivtOaYjuS5pjIwMjYwMeeJiC5kb2N4fElQPTEwLjExLjMyLjIzMXxNQUM9MDQ6RDQ6QzQ6NTU6MDc6MTV8Y29tcHV0ZXJOYW1lPeWRmOW3peW3peWPt3xjb21wYW55Pea1meWVhumTtuihjOiCoeS7veaciemZkOWFrOWPuHxkZXA95biC5Zy66JCl6ZSA6YOo77yI5Lqn5ZOB56CU5Y+R6YOo77yJfHVuaXF1ZUNvZGU9MTEzMDM0fHVzZXJOYW1lPemZiOeCnOadsA==</w:t>
                </w: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DE153C"/>
    <w:multiLevelType w:val="singleLevel"/>
    <w:tmpl w:val="F7DE153C"/>
    <w:lvl w:ilvl="0" w:tentative="0">
      <w:start w:val="1"/>
      <w:numFmt w:val="decimal"/>
      <w:suff w:val="nothing"/>
      <w:lvlText w:val="（%1）"/>
      <w:lvlJc w:val="left"/>
    </w:lvl>
  </w:abstractNum>
  <w:abstractNum w:abstractNumId="1">
    <w:nsid w:val="2ECF739A"/>
    <w:multiLevelType w:val="singleLevel"/>
    <w:tmpl w:val="2ECF739A"/>
    <w:lvl w:ilvl="0" w:tentative="0">
      <w:start w:val="1"/>
      <w:numFmt w:val="decimal"/>
      <w:lvlText w:val="%1."/>
      <w:lvlJc w:val="left"/>
      <w:pPr>
        <w:tabs>
          <w:tab w:val="left" w:pos="312"/>
        </w:tabs>
      </w:pPr>
    </w:lvl>
  </w:abstractNum>
  <w:abstractNum w:abstractNumId="2">
    <w:nsid w:val="7477F87A"/>
    <w:multiLevelType w:val="multilevel"/>
    <w:tmpl w:val="7477F87A"/>
    <w:lvl w:ilvl="0" w:tentative="0">
      <w:start w:val="1"/>
      <w:numFmt w:val="chineseCounting"/>
      <w:pStyle w:val="2"/>
      <w:suff w:val="nothing"/>
      <w:lvlText w:val="第%1节 "/>
      <w:lvlJc w:val="left"/>
      <w:pPr>
        <w:tabs>
          <w:tab w:val="left" w:pos="0"/>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chineseCounting"/>
      <w:pStyle w:val="3"/>
      <w:suff w:val="nothing"/>
      <w:lvlText w:val="（%2）"/>
      <w:lvlJc w:val="left"/>
      <w:pPr>
        <w:tabs>
          <w:tab w:val="left" w:pos="0"/>
        </w:tabs>
        <w:ind w:left="0" w:firstLine="0"/>
      </w:pPr>
      <w:rPr>
        <w:rFonts w:hint="eastAsia" w:ascii="宋体" w:hAnsi="宋体" w:eastAsia="仿宋_GB2312" w:cs="宋体"/>
        <w:b/>
        <w:bCs/>
        <w:sz w:val="24"/>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FmYjM3ZmJlMjNhM2Y5MDE0ZTRlMTUxZThiNDdmNTYifQ=="/>
    <w:docVar w:name="KSO_WPS_MARK_KEY" w:val="2176d3be-20b8-4d3b-b4e7-551bb84ae047"/>
  </w:docVars>
  <w:rsids>
    <w:rsidRoot w:val="00000000"/>
    <w:rsid w:val="021E2574"/>
    <w:rsid w:val="16366A4F"/>
    <w:rsid w:val="267B437C"/>
    <w:rsid w:val="442A5F0D"/>
    <w:rsid w:val="4F604578"/>
    <w:rsid w:val="508A6C80"/>
    <w:rsid w:val="55370068"/>
    <w:rsid w:val="5F1B7BA2"/>
    <w:rsid w:val="699A0757"/>
    <w:rsid w:val="732B4F56"/>
    <w:rsid w:val="73A74E12"/>
    <w:rsid w:val="789769C2"/>
    <w:rsid w:val="78F07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99"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24"/>
      <w:szCs w:val="22"/>
      <w:lang w:val="en-US" w:eastAsia="zh-CN" w:bidi="ar-SA"/>
    </w:rPr>
  </w:style>
  <w:style w:type="paragraph" w:styleId="2">
    <w:name w:val="heading 1"/>
    <w:basedOn w:val="1"/>
    <w:next w:val="1"/>
    <w:link w:val="21"/>
    <w:qFormat/>
    <w:uiPriority w:val="0"/>
    <w:pPr>
      <w:keepNext/>
      <w:keepLines/>
      <w:numPr>
        <w:ilvl w:val="0"/>
        <w:numId w:val="1"/>
      </w:numPr>
      <w:spacing w:line="360" w:lineRule="auto"/>
      <w:jc w:val="center"/>
      <w:outlineLvl w:val="0"/>
    </w:pPr>
    <w:rPr>
      <w:rFonts w:eastAsia="黑体"/>
      <w:kern w:val="44"/>
      <w:sz w:val="28"/>
    </w:rPr>
  </w:style>
  <w:style w:type="paragraph" w:styleId="3">
    <w:name w:val="heading 2"/>
    <w:basedOn w:val="1"/>
    <w:next w:val="1"/>
    <w:link w:val="22"/>
    <w:unhideWhenUsed/>
    <w:qFormat/>
    <w:uiPriority w:val="0"/>
    <w:pPr>
      <w:keepNext/>
      <w:keepLines/>
      <w:numPr>
        <w:ilvl w:val="1"/>
        <w:numId w:val="1"/>
      </w:numPr>
      <w:tabs>
        <w:tab w:val="left" w:pos="709"/>
        <w:tab w:val="left" w:pos="1134"/>
      </w:tabs>
      <w:spacing w:line="360" w:lineRule="auto"/>
      <w:jc w:val="left"/>
      <w:outlineLvl w:val="1"/>
    </w:pPr>
    <w:rPr>
      <w:rFonts w:ascii="Arial" w:hAnsi="Arial"/>
      <w:b/>
    </w:rPr>
  </w:style>
  <w:style w:type="paragraph" w:styleId="4">
    <w:name w:val="heading 3"/>
    <w:basedOn w:val="1"/>
    <w:next w:val="1"/>
    <w:link w:val="23"/>
    <w:unhideWhenUsed/>
    <w:qFormat/>
    <w:uiPriority w:val="0"/>
    <w:pPr>
      <w:keepNext/>
      <w:keepLines/>
      <w:numPr>
        <w:ilvl w:val="2"/>
        <w:numId w:val="1"/>
      </w:numPr>
      <w:spacing w:before="260" w:after="260" w:line="413" w:lineRule="auto"/>
      <w:outlineLvl w:val="2"/>
    </w:pPr>
    <w:rPr>
      <w:b/>
      <w:sz w:val="32"/>
    </w:rPr>
  </w:style>
  <w:style w:type="paragraph" w:styleId="5">
    <w:name w:val="heading 4"/>
    <w:basedOn w:val="1"/>
    <w:next w:val="1"/>
    <w:unhideWhenUsed/>
    <w:qFormat/>
    <w:uiPriority w:val="0"/>
    <w:pPr>
      <w:keepNext/>
      <w:keepLines/>
      <w:numPr>
        <w:ilvl w:val="3"/>
        <w:numId w:val="1"/>
      </w:numPr>
      <w:spacing w:before="280" w:after="290" w:line="372" w:lineRule="auto"/>
      <w:outlineLvl w:val="3"/>
    </w:pPr>
    <w:rPr>
      <w:rFonts w:ascii="Arial" w:hAnsi="Arial" w:eastAsia="黑体"/>
      <w:b/>
      <w:sz w:val="28"/>
    </w:rPr>
  </w:style>
  <w:style w:type="paragraph" w:styleId="6">
    <w:name w:val="heading 5"/>
    <w:basedOn w:val="1"/>
    <w:next w:val="1"/>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unhideWhenUsed/>
    <w:qFormat/>
    <w:uiPriority w:val="0"/>
    <w:pPr>
      <w:keepNext/>
      <w:keepLines/>
      <w:numPr>
        <w:ilvl w:val="5"/>
        <w:numId w:val="1"/>
      </w:numPr>
      <w:spacing w:before="240" w:after="64" w:line="317" w:lineRule="auto"/>
      <w:outlineLvl w:val="5"/>
    </w:pPr>
    <w:rPr>
      <w:rFonts w:ascii="Arial" w:hAnsi="Arial" w:eastAsia="黑体"/>
      <w:b/>
    </w:rPr>
  </w:style>
  <w:style w:type="paragraph" w:styleId="8">
    <w:name w:val="heading 7"/>
    <w:basedOn w:val="1"/>
    <w:next w:val="1"/>
    <w:unhideWhenUsed/>
    <w:qFormat/>
    <w:uiPriority w:val="0"/>
    <w:pPr>
      <w:keepNext/>
      <w:keepLines/>
      <w:numPr>
        <w:ilvl w:val="6"/>
        <w:numId w:val="1"/>
      </w:numPr>
      <w:spacing w:before="240" w:after="64" w:line="317" w:lineRule="auto"/>
      <w:outlineLvl w:val="6"/>
    </w:pPr>
    <w:rPr>
      <w:b/>
    </w:rPr>
  </w:style>
  <w:style w:type="paragraph" w:styleId="9">
    <w:name w:val="heading 8"/>
    <w:basedOn w:val="1"/>
    <w:next w:val="1"/>
    <w:unhideWhenUsed/>
    <w:qFormat/>
    <w:uiPriority w:val="0"/>
    <w:pPr>
      <w:keepNext/>
      <w:keepLines/>
      <w:numPr>
        <w:ilvl w:val="7"/>
        <w:numId w:val="1"/>
      </w:numPr>
      <w:spacing w:before="240" w:after="64" w:line="317" w:lineRule="auto"/>
      <w:outlineLvl w:val="7"/>
    </w:pPr>
    <w:rPr>
      <w:rFonts w:ascii="Arial" w:hAnsi="Arial" w:eastAsia="黑体"/>
    </w:rPr>
  </w:style>
  <w:style w:type="paragraph" w:styleId="10">
    <w:name w:val="heading 9"/>
    <w:basedOn w:val="1"/>
    <w:next w:val="1"/>
    <w:unhideWhenUsed/>
    <w:qFormat/>
    <w:uiPriority w:val="0"/>
    <w:pPr>
      <w:keepNext/>
      <w:keepLines/>
      <w:numPr>
        <w:ilvl w:val="8"/>
        <w:numId w:val="1"/>
      </w:numPr>
      <w:spacing w:before="240" w:after="64" w:line="317" w:lineRule="auto"/>
      <w:outlineLvl w:val="8"/>
    </w:pPr>
    <w:rPr>
      <w:rFonts w:ascii="Arial" w:hAnsi="Arial" w:eastAsia="黑体"/>
      <w:sz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24"/>
    <w:qFormat/>
    <w:uiPriority w:val="99"/>
    <w:pPr>
      <w:jc w:val="left"/>
    </w:pPr>
    <w:rPr>
      <w:rFonts w:eastAsia="宋体"/>
    </w:rPr>
  </w:style>
  <w:style w:type="paragraph" w:styleId="12">
    <w:name w:val="Balloon Text"/>
    <w:basedOn w:val="1"/>
    <w:link w:val="25"/>
    <w:unhideWhenUsed/>
    <w:qFormat/>
    <w:uiPriority w:val="0"/>
    <w:rPr>
      <w:sz w:val="18"/>
      <w:szCs w:val="18"/>
    </w:rPr>
  </w:style>
  <w:style w:type="paragraph" w:styleId="13">
    <w:name w:val="footer"/>
    <w:basedOn w:val="1"/>
    <w:qFormat/>
    <w:uiPriority w:val="0"/>
    <w:pPr>
      <w:tabs>
        <w:tab w:val="center" w:pos="4153"/>
        <w:tab w:val="right" w:pos="8306"/>
      </w:tabs>
      <w:snapToGrid w:val="0"/>
      <w:jc w:val="left"/>
    </w:pPr>
    <w:rPr>
      <w:kern w:val="0"/>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annotation subject"/>
    <w:basedOn w:val="11"/>
    <w:next w:val="11"/>
    <w:link w:val="27"/>
    <w:unhideWhenUsed/>
    <w:qFormat/>
    <w:uiPriority w:val="0"/>
    <w:rPr>
      <w:b/>
      <w:bCs/>
    </w:rPr>
  </w:style>
  <w:style w:type="table" w:styleId="17">
    <w:name w:val="Table Grid"/>
    <w:basedOn w:val="16"/>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0"/>
    <w:rPr>
      <w:color w:val="0000FF"/>
      <w:u w:val="single"/>
    </w:rPr>
  </w:style>
  <w:style w:type="character" w:styleId="20">
    <w:name w:val="annotation reference"/>
    <w:basedOn w:val="18"/>
    <w:qFormat/>
    <w:uiPriority w:val="0"/>
    <w:rPr>
      <w:sz w:val="21"/>
      <w:szCs w:val="21"/>
    </w:rPr>
  </w:style>
  <w:style w:type="character" w:customStyle="1" w:styleId="21">
    <w:name w:val="标题 1 字符"/>
    <w:link w:val="2"/>
    <w:qFormat/>
    <w:uiPriority w:val="0"/>
    <w:rPr>
      <w:rFonts w:ascii="Calibri" w:hAnsi="Calibri" w:eastAsia="黑体"/>
      <w:kern w:val="44"/>
      <w:sz w:val="28"/>
    </w:rPr>
  </w:style>
  <w:style w:type="character" w:customStyle="1" w:styleId="22">
    <w:name w:val="标题 2 字符"/>
    <w:link w:val="3"/>
    <w:qFormat/>
    <w:uiPriority w:val="0"/>
    <w:rPr>
      <w:rFonts w:ascii="Arial" w:hAnsi="Arial" w:eastAsia="仿宋_GB2312"/>
      <w:b/>
    </w:rPr>
  </w:style>
  <w:style w:type="character" w:customStyle="1" w:styleId="23">
    <w:name w:val="标题 3 字符"/>
    <w:link w:val="4"/>
    <w:qFormat/>
    <w:uiPriority w:val="0"/>
    <w:rPr>
      <w:b/>
      <w:sz w:val="32"/>
    </w:rPr>
  </w:style>
  <w:style w:type="character" w:customStyle="1" w:styleId="24">
    <w:name w:val="批注文字 字符"/>
    <w:basedOn w:val="18"/>
    <w:link w:val="11"/>
    <w:qFormat/>
    <w:uiPriority w:val="99"/>
    <w:rPr>
      <w:rFonts w:ascii="Calibri" w:hAnsi="Calibri" w:eastAsia="宋体" w:cs="Times New Roman"/>
      <w:kern w:val="2"/>
      <w:sz w:val="21"/>
      <w:szCs w:val="22"/>
    </w:rPr>
  </w:style>
  <w:style w:type="character" w:customStyle="1" w:styleId="25">
    <w:name w:val="批注框文本 字符"/>
    <w:basedOn w:val="18"/>
    <w:link w:val="12"/>
    <w:semiHidden/>
    <w:qFormat/>
    <w:uiPriority w:val="0"/>
    <w:rPr>
      <w:kern w:val="2"/>
      <w:sz w:val="18"/>
      <w:szCs w:val="18"/>
    </w:rPr>
  </w:style>
  <w:style w:type="character" w:customStyle="1" w:styleId="26">
    <w:name w:val="页眉 字符"/>
    <w:basedOn w:val="18"/>
    <w:link w:val="14"/>
    <w:qFormat/>
    <w:uiPriority w:val="0"/>
    <w:rPr>
      <w:kern w:val="2"/>
      <w:sz w:val="18"/>
      <w:szCs w:val="18"/>
    </w:rPr>
  </w:style>
  <w:style w:type="character" w:customStyle="1" w:styleId="27">
    <w:name w:val="批注主题 字符"/>
    <w:basedOn w:val="24"/>
    <w:link w:val="15"/>
    <w:semiHidden/>
    <w:qFormat/>
    <w:uiPriority w:val="0"/>
    <w:rPr>
      <w:rFonts w:ascii="Calibri" w:hAnsi="Calibri" w:eastAsia="宋体" w:cs="Times New Roman"/>
      <w:b/>
      <w:bCs/>
      <w:kern w:val="2"/>
      <w:sz w:val="21"/>
      <w:szCs w:val="22"/>
    </w:rPr>
  </w:style>
  <w:style w:type="paragraph" w:styleId="28">
    <w:name w:val="List Paragraph"/>
    <w:basedOn w:val="1"/>
    <w:unhideWhenUsed/>
    <w:qFormat/>
    <w:uiPriority w:val="99"/>
    <w:pPr>
      <w:ind w:firstLine="420" w:firstLineChars="200"/>
    </w:pPr>
  </w:style>
  <w:style w:type="character" w:customStyle="1" w:styleId="29">
    <w:name w:val="fontstyle01"/>
    <w:basedOn w:val="18"/>
    <w:qFormat/>
    <w:uiPriority w:val="0"/>
    <w:rPr>
      <w:rFonts w:hint="eastAsia" w:ascii="黑体" w:hAnsi="黑体" w:eastAsia="黑体"/>
      <w:color w:val="000000"/>
      <w:sz w:val="18"/>
      <w:szCs w:val="18"/>
    </w:rPr>
  </w:style>
  <w:style w:type="paragraph" w:customStyle="1" w:styleId="30">
    <w:name w:val="修订1"/>
    <w:semiHidden/>
    <w:qFormat/>
    <w:uiPriority w:val="99"/>
    <w:rPr>
      <w:rFonts w:ascii="Calibri" w:hAnsi="Calibri" w:eastAsia="宋体" w:cs="Times New Roman"/>
      <w:kern w:val="2"/>
      <w:sz w:val="21"/>
      <w:szCs w:val="22"/>
      <w:lang w:val="en-US" w:eastAsia="zh-CN" w:bidi="ar-SA"/>
    </w:rPr>
  </w:style>
  <w:style w:type="paragraph" w:customStyle="1" w:styleId="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2">
    <w:name w:val="修订2"/>
    <w:semiHidden/>
    <w:qFormat/>
    <w:uiPriority w:val="99"/>
    <w:rPr>
      <w:rFonts w:ascii="Calibri" w:hAnsi="Calibri" w:eastAsia="仿宋_GB2312" w:cs="Times New Roman"/>
      <w:kern w:val="2"/>
      <w:sz w:val="24"/>
      <w:szCs w:val="22"/>
      <w:lang w:val="en-US" w:eastAsia="zh-CN" w:bidi="ar-SA"/>
    </w:rPr>
  </w:style>
  <w:style w:type="paragraph" w:customStyle="1" w:styleId="33">
    <w:name w:val="p"/>
    <w:basedOn w:val="1"/>
    <w:qFormat/>
    <w:uiPriority w:val="0"/>
    <w:pPr>
      <w:spacing w:line="390" w:lineRule="atLeast"/>
      <w:ind w:firstLine="420"/>
    </w:pPr>
  </w:style>
  <w:style w:type="paragraph" w:customStyle="1" w:styleId="34">
    <w:name w:val="修订3"/>
    <w:unhideWhenUsed/>
    <w:qFormat/>
    <w:uiPriority w:val="99"/>
    <w:rPr>
      <w:rFonts w:ascii="Calibri" w:hAnsi="Calibri" w:eastAsia="仿宋_GB2312" w:cs="Times New Roman"/>
      <w:kern w:val="2"/>
      <w:sz w:val="24"/>
      <w:szCs w:val="22"/>
      <w:lang w:val="en-US" w:eastAsia="zh-CN" w:bidi="ar-SA"/>
    </w:rPr>
  </w:style>
  <w:style w:type="paragraph" w:customStyle="1" w:styleId="35">
    <w:name w:val="修订4"/>
    <w:semiHidden/>
    <w:qFormat/>
    <w:uiPriority w:val="99"/>
    <w:rPr>
      <w:rFonts w:ascii="Calibri" w:hAnsi="Calibri" w:eastAsia="仿宋_GB2312" w:cs="Times New Roman"/>
      <w:kern w:val="2"/>
      <w:sz w:val="24"/>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35</Pages>
  <Words>3878</Words>
  <Characters>22107</Characters>
  <Lines>184</Lines>
  <Paragraphs>51</Paragraphs>
  <TotalTime>3</TotalTime>
  <ScaleCrop>false</ScaleCrop>
  <LinksUpToDate>false</LinksUpToDate>
  <CharactersWithSpaces>25934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2026-01-09T18:26:00Z</dcterms:created>
  <dc:creator>czbank</dc:creator>
  <cp:lastModifiedBy>浙商银行</cp:lastModifiedBy>
  <cp:lastPrinted>2024-09-20T15:45:00Z</cp:lastPrinted>
  <dcterms:modified xsi:type="dcterms:W3CDTF">2026-06-03T06:28:42Z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C1CD65D4B22F07D3B18A786946932C89_43</vt:lpwstr>
  </property>
  <property fmtid="{D5CDD505-2E9C-101B-9397-08002B2CF9AE}" pid="3" name="KSOProductBuildVer">
    <vt:lpwstr>2052-12.1.0.24034</vt:lpwstr>
  </property>
  <property fmtid="{D5CDD505-2E9C-101B-9397-08002B2CF9AE}" pid="4" name="KSOTemplateDocerSaveRecord">
    <vt:lpwstr>eyJoZGlkIjoiOWVjMjZhOWViNTZhZjkyOTUyOWNkNTA2ZGVmZmYwZTAiLCJ1c2VySWQiOiIzMDI2MzA1NjIifQ==</vt:lpwstr>
  </property>
</Properties>
</file>