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lang w:eastAsia="zh-CN"/>
        </w:rPr>
        <w:t>浙银理财</w:t>
      </w:r>
      <w:r>
        <w:rPr>
          <w:rFonts w:hint="eastAsia" w:ascii="仿宋_GB2312" w:hAnsi="宋体" w:eastAsia="仿宋_GB2312"/>
          <w:b/>
          <w:bCs/>
          <w:sz w:val="28"/>
          <w:szCs w:val="28"/>
        </w:rPr>
        <w:t>有限责任公司</w:t>
      </w:r>
    </w:p>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理财产品代理销售备忘录（样本）</w:t>
      </w:r>
    </w:p>
    <w:tbl>
      <w:tblPr>
        <w:tblStyle w:val="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5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产品名称</w:t>
            </w:r>
          </w:p>
        </w:tc>
        <w:tc>
          <w:tcPr>
            <w:tcW w:w="5981" w:type="dxa"/>
            <w:noWrap w:val="0"/>
            <w:vAlign w:val="center"/>
          </w:tcPr>
          <w:p>
            <w:pPr>
              <w:spacing w:line="320" w:lineRule="exact"/>
              <w:jc w:val="both"/>
              <w:rPr>
                <w:rFonts w:hint="eastAsia" w:ascii="仿宋_GB2312" w:hAnsi="仿宋" w:eastAsia="仿宋_GB2312" w:cs="Times New Roman"/>
                <w:b w:val="0"/>
                <w:bCs/>
                <w:szCs w:val="21"/>
                <w:lang w:val="en-US" w:eastAsia="zh-CN"/>
              </w:rPr>
            </w:pPr>
            <w:r>
              <w:rPr>
                <w:rFonts w:hint="eastAsia" w:ascii="仿宋_GB2312" w:hAnsi="仿宋" w:eastAsia="仿宋_GB2312" w:cs="Times New Roman"/>
                <w:b w:val="0"/>
                <w:bCs/>
                <w:szCs w:val="21"/>
                <w:lang w:val="en-US" w:eastAsia="zh-CN"/>
              </w:rPr>
              <w:t>浙银理财琮简富春149号理财产品</w:t>
            </w:r>
            <w:r>
              <w:rPr>
                <w:rFonts w:hint="eastAsia" w:ascii="仿宋_GB2312" w:hAnsi="仿宋" w:eastAsia="仿宋_GB2312" w:cs="Times New Roman"/>
                <w:b w:val="0"/>
                <w:bCs/>
                <w:szCs w:val="21"/>
                <w:lang w:val="en-US" w:eastAsia="zh-CN"/>
              </w:rPr>
              <w:t>A份额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理财信息登记系统</w:t>
            </w:r>
          </w:p>
          <w:p>
            <w:pPr>
              <w:spacing w:line="320" w:lineRule="exact"/>
              <w:jc w:val="both"/>
              <w:rPr>
                <w:rFonts w:ascii="仿宋_GB2312" w:hAnsi="仿宋" w:eastAsia="仿宋_GB2312"/>
                <w:b/>
                <w:szCs w:val="21"/>
              </w:rPr>
            </w:pPr>
            <w:r>
              <w:rPr>
                <w:rFonts w:hint="eastAsia" w:ascii="仿宋_GB2312" w:hAnsi="仿宋" w:eastAsia="仿宋_GB2312"/>
                <w:b/>
                <w:szCs w:val="21"/>
              </w:rPr>
              <w:t>产品编码</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宋体" w:hAnsi="宋体"/>
                <w:b/>
                <w:color w:val="auto"/>
                <w:szCs w:val="24"/>
                <w:highlight w:val="none"/>
                <w:lang w:eastAsia="zh-CN"/>
              </w:rPr>
              <w:t>Z7011826000206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产品类型</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募集期</w:t>
            </w:r>
          </w:p>
        </w:tc>
        <w:tc>
          <w:tcPr>
            <w:tcW w:w="5981" w:type="dxa"/>
            <w:noWrap w:val="0"/>
            <w:vAlign w:val="center"/>
          </w:tcPr>
          <w:p>
            <w:pPr>
              <w:autoSpaceDE w:val="0"/>
              <w:autoSpaceDN w:val="0"/>
              <w:adjustRightInd w:val="0"/>
              <w:snapToGrid w:val="0"/>
              <w:rPr>
                <w:rFonts w:hint="eastAsia" w:ascii="仿宋_GB2312" w:hAnsi="仿宋" w:eastAsia="仿宋_GB2312" w:cs="Times New Roman"/>
                <w:b w:val="0"/>
                <w:bCs/>
                <w:szCs w:val="21"/>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5</w:t>
            </w:r>
            <w:r>
              <w:rPr>
                <w:rFonts w:hint="eastAsia" w:ascii="宋体" w:hAnsi="宋体"/>
                <w:b/>
                <w:color w:val="auto"/>
                <w:szCs w:val="24"/>
                <w:highlight w:val="none"/>
              </w:rPr>
              <w:t>】日【9:00】—</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11</w:t>
            </w:r>
            <w:r>
              <w:rPr>
                <w:rFonts w:hint="eastAsia" w:ascii="宋体" w:hAnsi="宋体"/>
                <w:b/>
                <w:color w:val="auto"/>
                <w:szCs w:val="24"/>
                <w:highlight w:val="none"/>
              </w:rPr>
              <w:t>】日【15:30】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成立日/份额登记日</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12</w:t>
            </w:r>
            <w:r>
              <w:rPr>
                <w:rFonts w:hint="eastAsia" w:ascii="宋体" w:hAnsi="宋体"/>
                <w:b/>
                <w:color w:val="auto"/>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到期日</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7</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7</w:t>
            </w:r>
            <w:r>
              <w:rPr>
                <w:rFonts w:hint="eastAsia" w:ascii="宋体" w:hAnsi="宋体"/>
                <w:b/>
                <w:color w:val="auto"/>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存续期限</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【3</w:t>
            </w:r>
            <w:r>
              <w:rPr>
                <w:rFonts w:hint="eastAsia" w:ascii="仿宋_GB2312" w:hAnsi="仿宋" w:eastAsia="仿宋_GB2312" w:cs="Times New Roman"/>
                <w:b w:val="0"/>
                <w:bCs/>
                <w:szCs w:val="21"/>
                <w:lang w:val="en-US" w:eastAsia="zh-CN"/>
              </w:rPr>
              <w:t>90</w:t>
            </w:r>
            <w:r>
              <w:rPr>
                <w:rFonts w:hint="eastAsia" w:ascii="仿宋_GB2312" w:hAnsi="仿宋" w:eastAsia="仿宋_GB2312" w:cs="Times New Roman"/>
                <w:b w:val="0"/>
                <w:bCs/>
                <w:szCs w:val="21"/>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投资起点</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认购起点为【1】元，超过部分以【1】元的整数倍增加。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销售规模</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w:t>
            </w:r>
            <w:r>
              <w:rPr>
                <w:rFonts w:hint="eastAsia" w:ascii="仿宋_GB2312" w:hAnsi="仿宋" w:eastAsia="仿宋_GB2312" w:cs="Times New Roman"/>
                <w:b w:val="0"/>
                <w:bCs/>
                <w:szCs w:val="21"/>
                <w:lang w:val="en-US" w:eastAsia="zh-CN"/>
              </w:rPr>
              <w:t>10000</w:t>
            </w:r>
            <w:r>
              <w:rPr>
                <w:rFonts w:hint="eastAsia" w:ascii="仿宋_GB2312" w:hAnsi="仿宋" w:eastAsia="仿宋_GB2312" w:cs="Times New Roman"/>
                <w:b w:val="0"/>
                <w:bCs/>
                <w:szCs w:val="21"/>
              </w:rPr>
              <w:t>】</w:t>
            </w:r>
            <w:r>
              <w:rPr>
                <w:rFonts w:hint="eastAsia" w:ascii="仿宋_GB2312" w:hAnsi="仿宋" w:eastAsia="仿宋_GB2312" w:cs="Times New Roman"/>
                <w:b w:val="0"/>
                <w:bCs/>
                <w:szCs w:val="21"/>
                <w:lang w:eastAsia="zh-CN"/>
              </w:rPr>
              <w:t>万</w:t>
            </w:r>
            <w:r>
              <w:rPr>
                <w:rFonts w:hint="eastAsia" w:ascii="仿宋_GB2312" w:hAnsi="仿宋" w:eastAsia="仿宋_GB2312" w:cs="Times New Roman"/>
                <w:b w:val="0"/>
                <w:bCs/>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投资范围</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风险评级</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【R</w:t>
            </w:r>
            <w:r>
              <w:rPr>
                <w:rFonts w:hint="eastAsia" w:ascii="仿宋_GB2312" w:hAnsi="仿宋" w:eastAsia="仿宋_GB2312" w:cs="Times New Roman"/>
                <w:b w:val="0"/>
                <w:bCs/>
                <w:szCs w:val="21"/>
                <w:lang w:val="en-US" w:eastAsia="zh-CN"/>
              </w:rPr>
              <w:t>2</w:t>
            </w:r>
            <w:r>
              <w:rPr>
                <w:rFonts w:hint="eastAsia" w:ascii="仿宋_GB2312" w:hAnsi="仿宋" w:eastAsia="仿宋_GB2312" w:cs="Times New Roman"/>
                <w:b w:val="0"/>
                <w:bCs/>
                <w:szCs w:val="21"/>
              </w:rPr>
              <w:t>】对应风险等级为【</w:t>
            </w:r>
            <w:r>
              <w:rPr>
                <w:rFonts w:hint="eastAsia" w:ascii="仿宋_GB2312" w:hAnsi="仿宋" w:eastAsia="仿宋_GB2312" w:cs="Times New Roman"/>
                <w:b w:val="0"/>
                <w:bCs/>
                <w:szCs w:val="21"/>
                <w:lang w:val="en-US" w:eastAsia="zh-CN"/>
              </w:rPr>
              <w:t>中</w:t>
            </w:r>
            <w:r>
              <w:rPr>
                <w:rFonts w:hint="eastAsia" w:ascii="仿宋_GB2312" w:hAnsi="仿宋" w:eastAsia="仿宋_GB2312" w:cs="Times New Roman"/>
                <w:b w:val="0"/>
                <w:bCs/>
                <w:szCs w:val="21"/>
              </w:rPr>
              <w:t>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代销服务费率</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销售服务费率：年化费率【0.</w:t>
            </w:r>
            <w:r>
              <w:rPr>
                <w:rFonts w:hint="eastAsia" w:ascii="仿宋_GB2312" w:hAnsi="仿宋" w:eastAsia="仿宋_GB2312" w:cs="Times New Roman"/>
                <w:b w:val="0"/>
                <w:bCs/>
                <w:szCs w:val="21"/>
                <w:lang w:val="en-US" w:eastAsia="zh-CN"/>
              </w:rPr>
              <w:t>10</w:t>
            </w:r>
            <w:r>
              <w:rPr>
                <w:rFonts w:hint="eastAsia" w:ascii="仿宋_GB2312" w:hAnsi="仿宋" w:eastAsia="仿宋_GB2312" w:cs="Times New Roman"/>
                <w:b w:val="0"/>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业绩比较基准</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年化</w:t>
            </w:r>
            <w:r>
              <w:rPr>
                <w:rFonts w:hint="eastAsia" w:ascii="宋体" w:hAnsi="宋体"/>
                <w:b/>
                <w:color w:val="auto"/>
                <w:szCs w:val="24"/>
                <w:highlight w:val="none"/>
              </w:rPr>
              <w:t>【</w:t>
            </w:r>
            <w:r>
              <w:rPr>
                <w:rFonts w:hint="eastAsia" w:ascii="宋体" w:hAnsi="宋体"/>
                <w:b/>
                <w:color w:val="auto"/>
                <w:szCs w:val="24"/>
                <w:highlight w:val="none"/>
                <w:lang w:val="en-US" w:eastAsia="zh-CN"/>
              </w:rPr>
              <w:t>2.50%-2.80%</w:t>
            </w:r>
            <w:r>
              <w:rPr>
                <w:rFonts w:hint="eastAsia" w:ascii="宋体" w:hAnsi="宋体"/>
                <w:b/>
                <w:color w:val="auto"/>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理财募集结算资金专用账户</w:t>
            </w:r>
          </w:p>
        </w:tc>
        <w:tc>
          <w:tcPr>
            <w:tcW w:w="5981" w:type="dxa"/>
            <w:noWrap w:val="0"/>
            <w:vAlign w:val="center"/>
          </w:tcPr>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 xml:space="preserve">户名：浙银理财有限责任公司理财产品募集资金专户 </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开户行：浙商银行股份有限公司杭州萧山分行</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 xml:space="preserve">账号：3310010110120100662509 </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大额支付系统行号：316331000059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2547" w:type="dxa"/>
            <w:noWrap w:val="0"/>
            <w:vAlign w:val="center"/>
          </w:tcPr>
          <w:p>
            <w:pPr>
              <w:spacing w:line="320" w:lineRule="exact"/>
              <w:jc w:val="both"/>
              <w:rPr>
                <w:rFonts w:ascii="仿宋_GB2312" w:hAnsi="仿宋" w:eastAsia="仿宋_GB2312"/>
                <w:b/>
                <w:szCs w:val="21"/>
              </w:rPr>
            </w:pPr>
            <w:r>
              <w:rPr>
                <w:rFonts w:hint="eastAsia" w:ascii="仿宋_GB2312" w:hAnsi="仿宋" w:eastAsia="仿宋_GB2312"/>
                <w:b/>
                <w:szCs w:val="21"/>
              </w:rPr>
              <w:t>其他约定</w:t>
            </w:r>
          </w:p>
        </w:tc>
        <w:tc>
          <w:tcPr>
            <w:tcW w:w="5981" w:type="dxa"/>
            <w:noWrap w:val="0"/>
            <w:vAlign w:val="center"/>
          </w:tcPr>
          <w:p>
            <w:pPr>
              <w:spacing w:line="320" w:lineRule="exact"/>
              <w:jc w:val="both"/>
              <w:rPr>
                <w:rFonts w:hint="eastAsia" w:ascii="仿宋_GB2312" w:hAnsi="仿宋" w:eastAsia="仿宋_GB2312" w:cs="Times New Roman"/>
                <w:b w:val="0"/>
                <w:bCs/>
                <w:szCs w:val="21"/>
                <w:lang w:eastAsia="zh-CN"/>
              </w:rPr>
            </w:pPr>
            <w:r>
              <w:rPr>
                <w:rFonts w:hint="eastAsia" w:ascii="仿宋_GB2312" w:hAnsi="仿宋" w:eastAsia="仿宋_GB2312" w:cs="Times New Roman"/>
                <w:b w:val="0"/>
                <w:bCs/>
                <w:szCs w:val="21"/>
              </w:rPr>
              <w:t>业绩报酬计提基准的设定：管理人对本产品设定业绩报酬计提基准：【</w:t>
            </w:r>
            <w:r>
              <w:rPr>
                <w:rFonts w:hint="eastAsia" w:ascii="宋体" w:hAnsi="宋体"/>
                <w:b/>
                <w:color w:val="000000" w:themeColor="text1"/>
                <w:szCs w:val="24"/>
                <w:highlight w:val="none"/>
                <w:lang w:val="en-US" w:eastAsia="zh-CN"/>
                <w14:textFill>
                  <w14:solidFill>
                    <w14:schemeClr w14:val="tx1"/>
                  </w14:solidFill>
                </w14:textFill>
              </w:rPr>
              <w:t>2.65%</w:t>
            </w:r>
            <w:r>
              <w:rPr>
                <w:rFonts w:hint="eastAsia" w:ascii="仿宋_GB2312" w:hAnsi="仿宋" w:eastAsia="仿宋_GB2312" w:cs="Times New Roman"/>
                <w:b w:val="0"/>
                <w:bCs/>
                <w:szCs w:val="21"/>
              </w:rPr>
              <w:t>】</w:t>
            </w:r>
          </w:p>
          <w:p>
            <w:pPr>
              <w:spacing w:line="320" w:lineRule="exact"/>
              <w:jc w:val="both"/>
              <w:rPr>
                <w:rFonts w:hint="eastAsia" w:ascii="仿宋_GB2312" w:hAnsi="仿宋" w:eastAsia="仿宋_GB2312" w:cs="Times New Roman"/>
                <w:b w:val="0"/>
                <w:bCs/>
                <w:szCs w:val="21"/>
              </w:rPr>
            </w:pPr>
            <w:r>
              <w:rPr>
                <w:rFonts w:hint="eastAsia" w:ascii="仿宋_GB2312" w:hAnsi="仿宋" w:eastAsia="仿宋_GB2312" w:cs="Times New Roman"/>
                <w:b w:val="0"/>
                <w:bCs/>
                <w:szCs w:val="21"/>
              </w:rPr>
              <w:t>在业绩报酬计提日时，若理财资产扣除销售服务费、产品托管费和投资管理费等相关费用和税收后，业绩报酬计提日产品份额净值折算的当前年化收益率超过当前业绩报酬计提基准，则产品管理人计提超出部分的【</w:t>
            </w:r>
            <w:r>
              <w:rPr>
                <w:rFonts w:hint="eastAsia" w:ascii="仿宋_GB2312" w:hAnsi="仿宋" w:eastAsia="仿宋_GB2312" w:cs="Times New Roman"/>
                <w:b w:val="0"/>
                <w:bCs/>
                <w:szCs w:val="21"/>
                <w:lang w:val="en-US" w:eastAsia="zh-CN"/>
              </w:rPr>
              <w:t>50%</w:t>
            </w:r>
            <w:r>
              <w:rPr>
                <w:rFonts w:hint="eastAsia" w:ascii="仿宋_GB2312" w:hAnsi="仿宋" w:eastAsia="仿宋_GB2312" w:cs="Times New Roman"/>
                <w:b w:val="0"/>
                <w:bCs/>
                <w:szCs w:val="21"/>
              </w:rPr>
              <w:t>】作为业绩报酬。</w:t>
            </w:r>
          </w:p>
        </w:tc>
      </w:tr>
    </w:tbl>
    <w:p>
      <w:pPr>
        <w:spacing w:line="480" w:lineRule="exact"/>
        <w:ind w:right="1440"/>
        <w:jc w:val="right"/>
        <w:rPr>
          <w:rFonts w:ascii="仿宋_GB2312" w:hAnsi="宋体" w:eastAsia="仿宋_GB2312"/>
          <w:sz w:val="24"/>
        </w:rPr>
      </w:pPr>
    </w:p>
    <w:p>
      <w:pPr>
        <w:spacing w:line="480" w:lineRule="exact"/>
        <w:ind w:right="1920"/>
        <w:jc w:val="right"/>
        <w:rPr>
          <w:rFonts w:ascii="仿宋_GB2312" w:hAnsi="宋体" w:eastAsia="仿宋_GB2312"/>
          <w:sz w:val="24"/>
        </w:rPr>
      </w:pPr>
      <w:r>
        <w:rPr>
          <w:rFonts w:hint="eastAsia" w:ascii="仿宋_GB2312" w:hAnsi="宋体" w:eastAsia="仿宋_GB2312"/>
          <w:sz w:val="24"/>
          <w:lang w:val="en-US" w:eastAsia="zh-CN"/>
        </w:rPr>
        <w:t>2026</w:t>
      </w:r>
      <w:r>
        <w:rPr>
          <w:rFonts w:ascii="仿宋_GB2312" w:hAnsi="宋体" w:eastAsia="仿宋_GB2312"/>
          <w:sz w:val="24"/>
        </w:rPr>
        <w:t>年</w:t>
      </w:r>
      <w:r>
        <w:rPr>
          <w:rFonts w:hint="eastAsia" w:ascii="仿宋_GB2312" w:hAnsi="宋体" w:eastAsia="仿宋_GB2312"/>
          <w:sz w:val="24"/>
          <w:lang w:val="en-US" w:eastAsia="zh-CN"/>
        </w:rPr>
        <w:t>6</w:t>
      </w:r>
      <w:r>
        <w:rPr>
          <w:rFonts w:ascii="仿宋_GB2312" w:hAnsi="宋体" w:eastAsia="仿宋_GB2312"/>
          <w:sz w:val="24"/>
        </w:rPr>
        <w:t>月</w:t>
      </w:r>
      <w:r>
        <w:rPr>
          <w:rFonts w:hint="eastAsia" w:ascii="仿宋_GB2312" w:hAnsi="宋体" w:eastAsia="仿宋_GB2312"/>
          <w:sz w:val="24"/>
          <w:lang w:val="en-US" w:eastAsia="zh-CN"/>
        </w:rPr>
        <w:t>4</w:t>
      </w:r>
      <w:r>
        <w:rPr>
          <w:rFonts w:ascii="仿宋_GB2312" w:hAnsi="宋体" w:eastAsia="仿宋_GB2312"/>
          <w:sz w:val="24"/>
        </w:rPr>
        <w:t>日</w:t>
      </w:r>
    </w:p>
    <w:p>
      <w:pPr>
        <w:spacing w:line="480" w:lineRule="exact"/>
        <w:ind w:right="1680"/>
        <w:jc w:val="right"/>
        <w:rPr>
          <w:rFonts w:ascii="仿宋_GB2312" w:hAnsi="宋体" w:eastAsia="仿宋_GB2312"/>
          <w:sz w:val="24"/>
        </w:rPr>
      </w:pPr>
      <w:r>
        <w:rPr>
          <w:rFonts w:hint="eastAsia" w:ascii="仿宋_GB2312" w:hAnsi="宋体" w:eastAsia="仿宋_GB2312"/>
          <w:sz w:val="24"/>
        </w:rPr>
        <w:t>业务联系人签名：</w:t>
      </w:r>
      <w:bookmarkStart w:id="0" w:name="_GoBack"/>
      <w:bookmarkEnd w:id="0"/>
    </w:p>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CEA6F9"/>
    <w:rsid w:val="3DFF6C52"/>
    <w:rsid w:val="47BFBA5E"/>
    <w:rsid w:val="47FBAB9F"/>
    <w:rsid w:val="4BE3AA7A"/>
    <w:rsid w:val="53BFD7C1"/>
    <w:rsid w:val="5777DB9F"/>
    <w:rsid w:val="5A371C09"/>
    <w:rsid w:val="5A5B00A8"/>
    <w:rsid w:val="665E1F36"/>
    <w:rsid w:val="6DF4EE28"/>
    <w:rsid w:val="6FFF1B4E"/>
    <w:rsid w:val="75B6C7B4"/>
    <w:rsid w:val="75D770B8"/>
    <w:rsid w:val="77E71FC8"/>
    <w:rsid w:val="785F46DC"/>
    <w:rsid w:val="79F4A76D"/>
    <w:rsid w:val="7DFFB015"/>
    <w:rsid w:val="7EF74C52"/>
    <w:rsid w:val="7F5D442F"/>
    <w:rsid w:val="7FAD991D"/>
    <w:rsid w:val="95FAC6C8"/>
    <w:rsid w:val="ABDE6BE5"/>
    <w:rsid w:val="DDFE8FC8"/>
    <w:rsid w:val="DFF7458A"/>
    <w:rsid w:val="F7F43B21"/>
    <w:rsid w:val="F7F7D29B"/>
    <w:rsid w:val="FB1EEA2D"/>
    <w:rsid w:val="FBD7FB10"/>
    <w:rsid w:val="FBF81722"/>
    <w:rsid w:val="FECEA6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tLeast"/>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Office_11.8.2.12129_F1E327BC-269C-435d-A152-05C5408002CA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2025-12-03T00:14:00Z</dcterms:created>
  <dc:creator>Czbank</dc:creator>
  <cp:lastModifiedBy>czbank</cp:lastModifiedBy>
  <dcterms:modified xsi:type="dcterms:W3CDTF">2026-06-04T09:40:20Z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2052-11.8.2.12129</vt:lpwstr>
  </property>
  <property fmtid="{D5CDD505-2E9C-101B-9397-08002B2CF9AE}" pid="3" name="ICV">
    <vt:lpwstr>AA8C891575D7F639252D046A5C1054E3</vt:lpwstr>
  </property>
</Properties>
</file>