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00260" w:rsidP="00703B26" w:rsidRDefault="00703B26" w14:paraId="3894C5B4" w14:textId="35309E01">
      <w:pPr>
        <w:spacing w:line="360" w:lineRule="auto"/>
        <w15:collapsed w:val="false"/>
        <w:rPr>
          <w:rFonts w:ascii="宋体" w:hAnsi="宋体" w:eastAsia="宋体"/>
          <w:szCs w:val="21"/>
        </w:rPr>
      </w:pPr>
      <w:bookmarkStart w:name="_GoBack" w:id="0"/>
      <w:bookmarkEnd w:id="0"/>
      <w:r w:rsidRPr="00131012">
        <w:rPr>
          <w:rFonts w:hint="eastAsia" w:ascii="宋体" w:hAnsi="宋体" w:eastAsia="宋体"/>
          <w:szCs w:val="21"/>
        </w:rPr>
        <w:t>产品登记编码：</w:t>
      </w:r>
      <w:r w:rsidR="00D971C9">
        <w:rPr>
          <w:rFonts w:hint="eastAsia" w:ascii="宋体" w:hAnsi="宋体" w:eastAsia="宋体"/>
          <w:szCs w:val="21"/>
        </w:rPr>
        <w:t>Z7006923000710</w:t>
      </w:r>
    </w:p>
    <w:p w:rsidRPr="00131012" w:rsidR="00771F67" w:rsidP="00703B26" w:rsidRDefault="00771F67" w14:paraId="59D613EB" w14:textId="77777777">
      <w:pPr>
        <w:spacing w:line="360" w:lineRule="auto"/>
        <w:rPr>
          <w:rFonts w:ascii="宋体" w:hAnsi="宋体" w:eastAsia="宋体" w:cs="宋体"/>
          <w:b/>
          <w:bCs/>
          <w:iCs/>
          <w:color w:val="000000"/>
          <w:szCs w:val="21"/>
        </w:rPr>
      </w:pPr>
    </w:p>
    <w:p w:rsidRPr="00131012" w:rsidR="00703B26" w:rsidP="00100260" w:rsidRDefault="00703B26" w14:paraId="64ACD299" w14:textId="1350607A">
      <w:pPr>
        <w:pStyle w:val="a3"/>
        <w:snapToGrid w:val="false"/>
        <w:spacing w:after="0" w:line="360" w:lineRule="auto"/>
        <w:jc w:val="center"/>
        <w:outlineLvl w:val="0"/>
        <w:rPr>
          <w:rFonts w:ascii="宋体" w:hAnsi="宋体" w:eastAsia="宋体"/>
          <w:b/>
          <w:sz w:val="32"/>
          <w:szCs w:val="32"/>
        </w:rPr>
      </w:pPr>
      <w:r w:rsidR="00986ECC">
        <w:rPr>
          <w:rFonts w:hint="eastAsia" w:ascii="宋体" w:hAnsi="宋体" w:eastAsia="宋体"/>
          <w:b/>
          <w:sz w:val="32"/>
          <w:szCs w:val="32"/>
        </w:rPr>
        <w:t>浦银理财天添利现金宝39号</w:t>
        <w:t>理财产品</w:t>
      </w:r>
      <w:r w:rsidRPr="00131012">
        <w:rPr>
          <w:rFonts w:hint="eastAsia" w:ascii="宋体" w:hAnsi="宋体" w:eastAsia="宋体"/>
          <w:b/>
          <w:sz w:val="32"/>
          <w:szCs w:val="32"/>
        </w:rPr>
        <w:t>风险揭示书</w:t>
      </w:r>
    </w:p>
    <w:p w:rsidRPr="00100260" w:rsidR="00703B26" w:rsidP="00100260" w:rsidRDefault="00703B26" w14:paraId="55182414" w14:textId="77777777">
      <w:pPr>
        <w:snapToGrid w:val="false"/>
        <w:spacing w:line="360" w:lineRule="auto"/>
        <w:jc w:val="center"/>
        <w:rPr>
          <w:rFonts w:ascii="宋体" w:hAnsi="宋体" w:eastAsia="宋体" w:cs="宋体"/>
          <w:bCs/>
          <w:iCs/>
          <w:color w:val="000000"/>
          <w:sz w:val="22"/>
          <w:szCs w:val="21"/>
        </w:rPr>
      </w:pPr>
      <w:r w:rsidRPr="00100260">
        <w:rPr>
          <w:rFonts w:hint="eastAsia" w:ascii="宋体" w:hAnsi="宋体" w:eastAsia="宋体"/>
          <w:b/>
          <w:sz w:val="22"/>
          <w:szCs w:val="21"/>
        </w:rPr>
        <w:t>理财非存款、产品有风险、投资须谨慎</w:t>
      </w:r>
    </w:p>
    <w:p w:rsidRPr="00131012" w:rsidR="00703B26" w:rsidP="00703B26" w:rsidRDefault="00703B26" w14:paraId="1A2CEDB5" w14:textId="77777777">
      <w:pPr>
        <w:spacing w:line="360" w:lineRule="auto"/>
        <w:rPr>
          <w:rFonts w:ascii="宋体" w:hAnsi="宋体" w:eastAsia="宋体" w:cs="宋体"/>
          <w:bCs/>
          <w:iCs/>
          <w:color w:val="000000"/>
          <w:szCs w:val="21"/>
        </w:rPr>
      </w:pPr>
      <w:r w:rsidRPr="00131012">
        <w:rPr>
          <w:rFonts w:hint="eastAsia" w:ascii="宋体" w:hAnsi="宋体" w:eastAsia="宋体" w:cs="宋体"/>
          <w:bCs/>
          <w:iCs/>
          <w:color w:val="000000"/>
          <w:szCs w:val="21"/>
        </w:rPr>
        <w:t>尊敬的投资者：</w:t>
      </w:r>
    </w:p>
    <w:p w:rsidRPr="00131012" w:rsidR="00703B26" w:rsidP="00703B26" w:rsidRDefault="00703B26" w14:paraId="48A7F572"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投资有风险，当您投资本理财产品时，可能获得投资收益，但同时也面临着投资亏损的风险。浦银理财有限责任公司（以下简称“浦银理财”）郑重提示您：在选择购买理财产品前，请仔细阅读本产品《风险揭示书》、《投资协议书》、</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销售（代理销售）协议书</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、《产品说明书》、</w:t>
      </w:r>
      <w:r w:rsidRPr="00131012">
        <w:rPr>
          <w:rFonts w:ascii="宋体" w:hAnsi="宋体" w:eastAsia="宋体" w:cs="宋体"/>
          <w:bCs/>
          <w:iCs/>
          <w:color w:val="000000"/>
          <w:szCs w:val="21"/>
        </w:rPr>
        <w:t>《投资者权益须知》</w:t>
      </w:r>
      <w:r w:rsidRPr="00131012">
        <w:rPr>
          <w:rFonts w:hint="eastAsia" w:ascii="宋体" w:hAnsi="宋体" w:eastAsia="宋体" w:cs="宋体"/>
          <w:bCs/>
          <w:iCs/>
          <w:color w:val="000000"/>
          <w:szCs w:val="21"/>
        </w:rPr>
        <w:t>等理财产品销售文件，了解理财产品具体情况；在购买理财产品后，请关注理财产品的信息披露情况，及时获取相关信息。</w:t>
      </w:r>
    </w:p>
    <w:p w:rsidRPr="00131012" w:rsidR="00703B26" w:rsidP="00703B26" w:rsidRDefault="00703B26" w14:paraId="6E7FF532" w14:textId="77777777">
      <w:pPr>
        <w:spacing w:line="360" w:lineRule="auto"/>
        <w:ind w:firstLine="400" w:firstLineChars="200"/>
        <w:rPr>
          <w:rFonts w:ascii="宋体" w:hAnsi="宋体" w:eastAsia="宋体" w:cs="微软雅黑"/>
          <w:spacing w:val="-5"/>
          <w:szCs w:val="21"/>
        </w:rPr>
      </w:pPr>
    </w:p>
    <w:p w:rsidRPr="00131012" w:rsidR="00703B26" w:rsidP="00703B26" w:rsidRDefault="00703B26" w14:paraId="3DEE76C0" w14:textId="77777777">
      <w:pPr>
        <w:spacing w:line="360" w:lineRule="auto"/>
        <w:ind w:firstLine="400" w:firstLineChars="200"/>
        <w:outlineLvl w:val="1"/>
        <w:rPr>
          <w:rFonts w:ascii="宋体" w:hAnsi="宋体" w:eastAsia="宋体" w:cs="宋体"/>
          <w:b/>
          <w:bCs/>
          <w:iCs/>
          <w:color w:val="000000"/>
          <w:szCs w:val="21"/>
        </w:rPr>
      </w:pPr>
      <w:r w:rsidRPr="00131012">
        <w:rPr>
          <w:rFonts w:hint="eastAsia" w:ascii="宋体" w:hAnsi="宋体" w:eastAsia="宋体" w:cs="微软雅黑"/>
          <w:spacing w:val="-5"/>
          <w:szCs w:val="21"/>
        </w:rPr>
        <w:t>★一</w:t>
      </w:r>
      <w:r w:rsidRPr="00131012">
        <w:rPr>
          <w:rFonts w:hint="eastAsia" w:ascii="宋体" w:hAnsi="宋体" w:eastAsia="宋体" w:cs="宋体"/>
          <w:b/>
          <w:bCs/>
          <w:iCs/>
          <w:color w:val="000000"/>
          <w:szCs w:val="21"/>
        </w:rPr>
        <w:t>、投资者提示</w:t>
      </w:r>
    </w:p>
    <w:p w:rsidRPr="00131012" w:rsidR="00703B26" w:rsidP="00703B26" w:rsidRDefault="00703B26" w14:paraId="004E79B2" w14:textId="77777777">
      <w:pPr>
        <w:spacing w:line="360" w:lineRule="auto"/>
        <w:ind w:firstLine="420" w:firstLineChars="200"/>
        <w:rPr>
          <w:rFonts w:ascii="宋体" w:hAnsi="宋体" w:eastAsia="宋体" w:cs="宋体"/>
          <w:b/>
          <w:bCs/>
          <w:iCs/>
          <w:color w:val="000000"/>
          <w:szCs w:val="21"/>
        </w:rPr>
      </w:pPr>
      <w:r w:rsidRPr="00131012">
        <w:rPr>
          <w:rFonts w:hint="eastAsia" w:ascii="宋体" w:hAnsi="宋体" w:eastAsia="宋体" w:cs="宋体"/>
          <w:bCs/>
          <w:iCs/>
          <w:color w:val="000000"/>
          <w:szCs w:val="21"/>
        </w:rPr>
        <w:t>（一）</w:t>
      </w:r>
      <w:r w:rsidRPr="00131012">
        <w:rPr>
          <w:rFonts w:hint="eastAsia" w:ascii="宋体" w:hAnsi="宋体" w:eastAsia="宋体" w:cs="宋体"/>
          <w:b/>
          <w:bCs/>
          <w:iCs/>
          <w:color w:val="000000"/>
          <w:szCs w:val="21"/>
        </w:rPr>
        <w:t>理财非存款、产品有风险、投资须谨慎。</w:t>
      </w:r>
    </w:p>
    <w:p w:rsidRPr="00131012" w:rsidR="00703B26" w:rsidP="00703B26" w:rsidRDefault="00703B26" w14:paraId="5D9F6240"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（二）理财产品过往业绩不代表其未来表现，不等于理财产品实际收益。</w:t>
      </w:r>
    </w:p>
    <w:p w:rsidRPr="00131012" w:rsidR="00703B26" w:rsidP="00703B26" w:rsidRDefault="00703B26" w14:paraId="4689211F"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（三）如影响您风险承受能力的因素发生变化，请及时完成风险承受能力评估。</w:t>
      </w:r>
    </w:p>
    <w:p w:rsidRPr="00131012" w:rsidR="00703B26" w:rsidP="00703B26" w:rsidRDefault="007E06CD" w14:paraId="15C86B65" w14:textId="450C07E2">
      <w:pPr>
        <w:spacing w:line="360" w:lineRule="auto"/>
        <w:ind w:firstLine="422" w:firstLineChars="200"/>
        <w:rPr>
          <w:rFonts w:ascii="宋体" w:hAnsi="宋体" w:eastAsia="宋体" w:cs="宋体"/>
          <w:b/>
          <w:bCs/>
          <w:iCs/>
          <w:color w:val="000000"/>
          <w:szCs w:val="21"/>
        </w:rPr>
      </w:pPr>
      <w:r w:rsidRPr="00080523">
        <w:rPr>
          <w:rFonts w:hint="eastAsia" w:ascii="宋体" w:hAnsi="宋体" w:eastAsia="宋体" w:cs="宋体"/>
          <w:b/>
          <w:bCs/>
          <w:iCs/>
          <w:color w:val="000000"/>
          <w:szCs w:val="21"/>
        </w:rPr>
        <w:t>（四）本理财产品类型为</w:t>
      </w:r>
      <w:r w:rsidRPr="00080523" w:rsidR="00080523">
        <w:rPr>
          <w:rFonts w:hint="eastAsia" w:ascii="宋体" w:hAnsi="宋体" w:eastAsia="宋体" w:cs="宋体"/>
          <w:b/>
          <w:bCs/>
          <w:iCs/>
          <w:color w:val="000000"/>
          <w:szCs w:val="21"/>
        </w:rPr>
        <w:t>固定收益类</w:t>
      </w:r>
      <w:r w:rsidRPr="00080523">
        <w:rPr>
          <w:rFonts w:hint="eastAsia" w:ascii="宋体" w:hAnsi="宋体" w:eastAsia="宋体" w:cs="宋体"/>
          <w:b/>
          <w:bCs/>
          <w:iCs/>
          <w:color w:val="000000"/>
          <w:szCs w:val="21"/>
        </w:rPr>
        <w:t>，</w:t>
      </w:r>
      <w:r w:rsidR="000E090D">
        <w:rPr>
          <w:rFonts w:hint="eastAsia" w:ascii="宋体" w:hAnsi="宋体" w:eastAsia="宋体" w:cs="宋体"/>
          <w:b/>
          <w:bCs/>
          <w:iCs/>
          <w:color w:val="000000"/>
          <w:szCs w:val="21"/>
        </w:rPr>
        <w:t>本理财</w:t>
      </w:r>
      <w:r w:rsidR="006D5D9F">
        <w:rPr>
          <w:rFonts w:hint="eastAsia" w:ascii="宋体" w:hAnsi="宋体" w:eastAsia="宋体" w:cs="宋体"/>
          <w:b/>
          <w:bCs/>
          <w:iCs/>
          <w:color w:val="000000"/>
          <w:szCs w:val="21"/>
        </w:rPr>
        <w:t>产品无固定存续期限</w:t>
      </w:r>
      <w:r w:rsidRPr="00080523" w:rsidR="00703B26">
        <w:rPr>
          <w:rFonts w:hint="eastAsia" w:ascii="宋体" w:hAnsi="宋体" w:eastAsia="宋体" w:cs="宋体"/>
          <w:b/>
          <w:bCs/>
          <w:iCs/>
          <w:color w:val="000000"/>
          <w:szCs w:val="21"/>
        </w:rPr>
        <w:t>。</w:t>
      </w:r>
    </w:p>
    <w:p w:rsidRPr="00131012" w:rsidR="00703B26" w:rsidP="00703B26" w:rsidRDefault="00703B26" w14:paraId="44CCBFF5" w14:textId="0D91EBD6">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（五）产品管理人对本理财产品风险评级为</w:t>
      </w:r>
      <w:r w:rsidR="006D5D9F">
        <w:rPr>
          <w:rFonts w:ascii="宋体" w:hAnsi="宋体" w:eastAsia="宋体" w:cs="宋体"/>
          <w:b/>
          <w:bCs/>
          <w:iCs/>
          <w:color w:val="000000"/>
          <w:szCs w:val="21"/>
        </w:rPr>
        <w:t>R1</w:t>
      </w:r>
      <w:r w:rsidR="007E06CD">
        <w:rPr>
          <w:rFonts w:hint="eastAsia" w:ascii="宋体" w:hAnsi="宋体" w:eastAsia="宋体" w:cs="宋体"/>
          <w:b/>
          <w:bCs/>
          <w:iCs/>
          <w:color w:val="000000"/>
          <w:szCs w:val="21"/>
        </w:rPr>
        <w:t>，适合购买投资者为</w:t>
      </w:r>
      <w:r w:rsidRPr="00383226" w:rsidR="00320236">
        <w:rPr>
          <w:rFonts w:hint="eastAsia" w:asciiTheme="minorEastAsia" w:hAnsiTheme="minorEastAsia" w:eastAsiaTheme="minorEastAsia"/>
          <w:color w:val="0D0D0D" w:themeColor="text1" w:themeTint="F2"/>
          <w:sz w:val="20"/>
          <w:szCs w:val="21"/>
        </w:rPr>
        <w:t>■</w:t>
      </w:r>
      <w:r w:rsidR="00201AD1">
        <w:rPr>
          <w:rFonts w:hint="eastAsia" w:ascii="宋体" w:hAnsi="宋体" w:eastAsia="宋体" w:cs="宋体"/>
          <w:b/>
          <w:bCs/>
          <w:iCs/>
          <w:color w:val="000000"/>
          <w:szCs w:val="21"/>
        </w:rPr>
        <w:t>经销售机构评估，评定为</w:t>
      </w:r>
      <w:r w:rsidRPr="00F62317" w:rsidR="006713FA">
        <w:rPr>
          <w:rFonts w:hint="eastAsia" w:ascii="宋体" w:hAnsi="宋体" w:eastAsia="宋体" w:cs="宋体"/>
          <w:b/>
          <w:bCs/>
          <w:iCs/>
          <w:color w:val="000000"/>
          <w:szCs w:val="21"/>
        </w:rPr>
        <w:t>保守型、</w:t>
        <w:t>稳健型、</w:t>
        <w:t>平衡型、</w:t>
        <w:t>成长型、</w:t>
        <w:t>进取型</w:t>
      </w:r>
      <w:r w:rsidRPr="00131012" w:rsidR="00201AD1">
        <w:rPr>
          <w:rFonts w:hint="eastAsia" w:ascii="宋体" w:hAnsi="宋体" w:eastAsia="宋体" w:cs="宋体"/>
          <w:b/>
          <w:bCs/>
          <w:iCs/>
          <w:color w:val="000000"/>
          <w:szCs w:val="21"/>
        </w:rPr>
        <w:t>的</w:t>
      </w:r>
      <w:r w:rsidR="00201AD1">
        <w:rPr>
          <w:rFonts w:hint="eastAsia" w:ascii="宋体" w:hAnsi="宋体" w:eastAsia="宋体" w:cs="宋体"/>
          <w:b/>
          <w:bCs/>
          <w:iCs/>
          <w:color w:val="000000"/>
          <w:szCs w:val="21"/>
        </w:rPr>
        <w:t xml:space="preserve">普通投资者</w:t>
      </w:r>
      <w:r w:rsidRPr="00100F36" w:rsidR="00201AD1">
        <w:rPr>
          <w:rFonts w:hint="eastAsia" w:asciiTheme="minorEastAsia" w:hAnsiTheme="minorEastAsia" w:eastAsiaTheme="minorEastAsia"/>
          <w:color w:val="0D0D0D" w:themeColor="text1" w:themeTint="F2"/>
          <w:sz w:val="20"/>
          <w:szCs w:val="21"/>
        </w:rPr>
        <w:t>■</w:t>
      </w:r>
      <w:r w:rsidR="00201AD1">
        <w:rPr>
          <w:rFonts w:hint="eastAsia" w:ascii="宋体" w:hAnsi="宋体" w:eastAsia="宋体" w:cs="宋体"/>
          <w:b/>
          <w:bCs/>
          <w:iCs/>
          <w:color w:val="000000"/>
          <w:szCs w:val="21"/>
        </w:rPr>
        <w:t>专业投资者</w:t>
      </w:r>
      <w:r w:rsidRPr="00131012" w:rsidR="00201AD1">
        <w:rPr>
          <w:rFonts w:hint="eastAsia" w:ascii="宋体" w:hAnsi="宋体" w:eastAsia="宋体" w:cs="宋体"/>
          <w:b/>
          <w:bCs/>
          <w:iCs/>
          <w:color w:val="000000"/>
          <w:szCs w:val="21"/>
        </w:rPr>
        <w:t>。</w:t>
      </w:r>
      <w:r w:rsidRPr="00131012">
        <w:rPr>
          <w:rFonts w:hint="eastAsia" w:ascii="宋体" w:hAnsi="宋体" w:eastAsia="宋体" w:cs="宋体"/>
          <w:b/>
          <w:bCs/>
          <w:iCs/>
          <w:color w:val="000000"/>
          <w:szCs w:val="21"/>
        </w:rPr>
        <w:t>本理财产品的风险评级仅是产品管理人内部测评结果，仅供投资者参考，本产品存续期内，产品内部风险评级可能会根据实际情况调整；如与销售机构对本理财产品的销售评级不一致的，销售机构应当采用对应较高风险等级的评级结果，本理财产品评级以销售机构最终披露的评级结果为准。</w:t>
      </w:r>
    </w:p>
    <w:p w:rsidRPr="00131012" w:rsidR="00703B26" w:rsidP="00703B26" w:rsidRDefault="00703B26" w14:paraId="7DECF1AB"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（六）请投资者注意投资风险，仔细阅读理财产品销售文件，了解理财产品具体情况。</w:t>
      </w:r>
    </w:p>
    <w:p w:rsidRPr="00131012" w:rsidR="00B15CD4" w:rsidP="00B15CD4" w:rsidRDefault="00B15CD4" w14:paraId="1CFA61B5"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（七）本理财产品不保障</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及收益。投资者的</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和收益可能因市场变动而蒙受损失，在最不利情况下，投资者甚至可能损失全部</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。投资者应充分认识投资风险，谨慎投资。</w:t>
      </w:r>
    </w:p>
    <w:p w:rsidRPr="00131012" w:rsidR="00B15CD4" w:rsidP="00B15CD4" w:rsidRDefault="00B15CD4" w14:paraId="4C832FED"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示例：如投资者购买本理财产品，</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为</w:t>
      </w:r>
      <w:r w:rsidRPr="00131012">
        <w:rPr>
          <w:rFonts w:ascii="宋体" w:hAnsi="宋体" w:eastAsia="宋体" w:cs="宋体"/>
          <w:b/>
          <w:bCs/>
          <w:iCs/>
          <w:color w:val="000000"/>
          <w:szCs w:val="21"/>
        </w:rPr>
        <w:t>50,000.00</w:t>
      </w:r>
      <w:r w:rsidRPr="00131012">
        <w:rPr>
          <w:rFonts w:hint="eastAsia" w:ascii="宋体" w:hAnsi="宋体" w:eastAsia="宋体" w:cs="宋体"/>
          <w:b/>
          <w:bCs/>
          <w:iCs/>
          <w:color w:val="000000"/>
          <w:szCs w:val="21"/>
        </w:rPr>
        <w:t>元，在理财产品资产组合项下资产全部亏损的最不利情况下，理财产品</w:t>
      </w:r>
      <w:r w:rsidRPr="00131012">
        <w:rPr>
          <w:rFonts w:ascii="宋体" w:hAnsi="宋体" w:eastAsia="宋体" w:cs="宋体"/>
          <w:b/>
          <w:bCs/>
          <w:iCs/>
          <w:color w:val="000000"/>
          <w:szCs w:val="21"/>
        </w:rPr>
        <w:t>50,000.00</w:t>
      </w:r>
      <w:r w:rsidRPr="00131012">
        <w:rPr>
          <w:rFonts w:hint="eastAsia" w:ascii="宋体" w:hAnsi="宋体" w:eastAsia="宋体" w:cs="宋体"/>
          <w:b/>
          <w:bCs/>
          <w:iCs/>
          <w:color w:val="000000"/>
          <w:szCs w:val="21"/>
        </w:rPr>
        <w:t>元</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将全部损失。</w:t>
      </w:r>
    </w:p>
    <w:p w:rsidRPr="00131012" w:rsidR="00B15CD4" w:rsidP="00B15CD4" w:rsidRDefault="00B15CD4" w14:paraId="5FD26266" w14:textId="77777777">
      <w:pPr>
        <w:spacing w:line="360" w:lineRule="auto"/>
        <w:ind w:firstLine="422" w:firstLineChars="200"/>
        <w:outlineLvl w:val="1"/>
        <w:rPr>
          <w:rFonts w:ascii="宋体" w:hAnsi="宋体" w:eastAsia="宋体" w:cs="宋体"/>
          <w:b/>
          <w:bCs/>
          <w:iCs/>
          <w:color w:val="000000"/>
          <w:szCs w:val="21"/>
        </w:rPr>
      </w:pPr>
      <w:r w:rsidRPr="00131012">
        <w:rPr>
          <w:rFonts w:hint="eastAsia" w:ascii="宋体" w:hAnsi="宋体" w:eastAsia="宋体" w:cs="宋体"/>
          <w:b/>
          <w:bCs/>
          <w:iCs/>
          <w:color w:val="000000"/>
          <w:szCs w:val="21"/>
        </w:rPr>
        <w:t>二、风险揭示</w:t>
      </w:r>
    </w:p>
    <w:p w:rsidRPr="00131012" w:rsidR="00B15CD4" w:rsidP="00B15CD4" w:rsidRDefault="00B15CD4" w14:paraId="2515D1F3"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本理财产品不保证</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和收益，请投资者根据自身理财目标、投资经验、财务状</w:t>
      </w:r>
      <w:r w:rsidRPr="00131012">
        <w:rPr>
          <w:rFonts w:hint="eastAsia" w:ascii="宋体" w:hAnsi="宋体" w:eastAsia="宋体" w:cs="宋体"/>
          <w:b/>
          <w:bCs/>
          <w:iCs/>
          <w:color w:val="000000"/>
          <w:szCs w:val="21"/>
        </w:rPr>
        <w:lastRenderedPageBreak/>
        <w:t>况、风险承受能力以及其他相关情况慎重考虑购买理财产品。</w:t>
      </w:r>
      <w:r w:rsidRPr="00131012">
        <w:rPr>
          <w:rFonts w:hint="eastAsia" w:ascii="宋体" w:hAnsi="宋体" w:eastAsia="宋体" w:cs="宋体"/>
          <w:bCs/>
          <w:iCs/>
          <w:color w:val="000000"/>
          <w:szCs w:val="21"/>
        </w:rPr>
        <w:t>本风险揭示书列示的风险指理财产品项下可能涉及的风险，包括但不限于：</w:t>
      </w:r>
    </w:p>
    <w:p w:rsidRPr="00131012" w:rsidR="00B15CD4" w:rsidP="00B15CD4" w:rsidRDefault="00B15CD4" w14:paraId="51242A86" w14:textId="7762268B">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（一）</w:t>
      </w:r>
      <w:r>
        <w:rPr>
          <w:rFonts w:hint="eastAsia" w:ascii="宋体" w:hAnsi="宋体" w:eastAsia="宋体" w:cs="宋体"/>
          <w:b/>
          <w:bCs/>
          <w:iCs/>
          <w:color w:val="000000"/>
          <w:szCs w:val="21"/>
        </w:rPr>
        <w:t>投资本金</w:t>
      </w:r>
      <w:r w:rsidRPr="00131012">
        <w:rPr>
          <w:rFonts w:hint="eastAsia" w:ascii="宋体" w:hAnsi="宋体" w:eastAsia="宋体" w:cs="宋体"/>
          <w:b/>
          <w:bCs/>
          <w:iCs/>
          <w:color w:val="000000"/>
          <w:szCs w:val="21"/>
        </w:rPr>
        <w:t>及收益风险：</w:t>
      </w:r>
      <w:r w:rsidRPr="00131012">
        <w:rPr>
          <w:rFonts w:hint="eastAsia" w:ascii="宋体" w:hAnsi="宋体" w:eastAsia="宋体" w:cs="宋体"/>
          <w:bCs/>
          <w:iCs/>
          <w:color w:val="000000"/>
          <w:szCs w:val="21"/>
        </w:rPr>
        <w:t>本理财产品不保障</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且不保证理财</w:t>
      </w:r>
      <w:r>
        <w:rPr>
          <w:rFonts w:hint="eastAsia" w:ascii="宋体" w:hAnsi="宋体" w:eastAsia="宋体" w:cs="宋体"/>
          <w:bCs/>
          <w:iCs/>
          <w:color w:val="000000"/>
          <w:szCs w:val="21"/>
        </w:rPr>
        <w:t>产品</w:t>
      </w:r>
      <w:r w:rsidRPr="00131012">
        <w:rPr>
          <w:rFonts w:hint="eastAsia" w:ascii="宋体" w:hAnsi="宋体" w:eastAsia="宋体" w:cs="宋体"/>
          <w:bCs/>
          <w:iCs/>
          <w:color w:val="000000"/>
          <w:szCs w:val="21"/>
        </w:rPr>
        <w:t>收益。理财产品收益来源于理财产品所投资资产组合的收益分配、出让或其他方式处分及</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或持有到期的收入。如资产组合内的底层债券、债权等资产发生市场风险、违约风险和流动性风险，或资产组合无法正常处置的，由此产生的</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及收益损失的风险由投资者自行承担。在发生资产违约且无法正常处置等最不利情况下投资者将可能损失全部</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w:t>
      </w:r>
    </w:p>
    <w:p w:rsidRPr="00131012" w:rsidR="00B15CD4" w:rsidP="00B15CD4" w:rsidRDefault="00B15CD4" w14:paraId="738028F3"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（二）市场风险：</w:t>
      </w:r>
      <w:r w:rsidRPr="00131012">
        <w:rPr>
          <w:rFonts w:hint="eastAsia" w:ascii="宋体" w:hAnsi="宋体" w:eastAsia="宋体" w:cs="宋体"/>
          <w:bCs/>
          <w:iCs/>
          <w:color w:val="000000"/>
          <w:szCs w:val="21"/>
        </w:rPr>
        <w:t>本理财产品投资收益来源于理财产品对应投资组合的运作和回报，因国家政策、经济周期、利率等因素可能发生变化，导致投资品种的市场价格发生波动，由此可能导致本理财产品的</w:t>
      </w:r>
      <w:r>
        <w:rPr>
          <w:rFonts w:hint="eastAsia" w:ascii="宋体" w:hAnsi="宋体" w:eastAsia="宋体" w:cs="宋体"/>
          <w:bCs/>
          <w:iCs/>
          <w:color w:val="000000"/>
          <w:szCs w:val="21"/>
        </w:rPr>
        <w:t>本金</w:t>
      </w:r>
      <w:r w:rsidRPr="00131012">
        <w:rPr>
          <w:rFonts w:hint="eastAsia" w:ascii="宋体" w:hAnsi="宋体" w:eastAsia="宋体" w:cs="宋体"/>
          <w:bCs/>
          <w:iCs/>
          <w:color w:val="000000"/>
          <w:szCs w:val="21"/>
        </w:rPr>
        <w:t>及收益遭受损失，市场风险主要包括：</w:t>
      </w:r>
    </w:p>
    <w:p w:rsidRPr="00131012" w:rsidR="00B15CD4" w:rsidP="00B15CD4" w:rsidRDefault="00B15CD4" w14:paraId="16AFDD0E" w14:textId="77777777">
      <w:pPr>
        <w:spacing w:line="360" w:lineRule="auto"/>
        <w:ind w:firstLine="420" w:firstLineChars="200"/>
        <w:rPr>
          <w:rFonts w:ascii="宋体" w:hAnsi="宋体" w:eastAsia="宋体" w:cs="宋体"/>
          <w:bCs/>
          <w:iCs/>
          <w:color w:val="000000"/>
          <w:szCs w:val="21"/>
        </w:rPr>
      </w:pPr>
      <w:r w:rsidRPr="00131012">
        <w:rPr>
          <w:rFonts w:ascii="宋体" w:hAnsi="宋体" w:eastAsia="宋体" w:cs="宋体"/>
          <w:bCs/>
          <w:iCs/>
          <w:color w:val="000000"/>
          <w:szCs w:val="21"/>
        </w:rPr>
        <w:t>1.</w:t>
      </w:r>
      <w:r w:rsidRPr="00131012">
        <w:rPr>
          <w:rFonts w:hint="eastAsia" w:ascii="宋体" w:hAnsi="宋体" w:eastAsia="宋体" w:cs="宋体"/>
          <w:bCs/>
          <w:iCs/>
          <w:color w:val="000000"/>
          <w:szCs w:val="21"/>
        </w:rPr>
        <w:t>政策风险：因国家宏观政策（如货币政策、财政政策、行业政策、地区发展政策和监管规定等）发生变化，导致市场价格波动而产生风险，从而对理财产品收益产生影响。</w:t>
      </w:r>
    </w:p>
    <w:p w:rsidRPr="00131012" w:rsidR="00B15CD4" w:rsidP="00B15CD4" w:rsidRDefault="00B15CD4" w14:paraId="73C00F6A" w14:textId="77777777">
      <w:pPr>
        <w:spacing w:line="360" w:lineRule="auto"/>
        <w:ind w:firstLine="420" w:firstLineChars="200"/>
        <w:rPr>
          <w:rFonts w:ascii="宋体" w:hAnsi="宋体" w:eastAsia="宋体" w:cs="宋体"/>
          <w:bCs/>
          <w:iCs/>
          <w:color w:val="000000"/>
          <w:szCs w:val="21"/>
        </w:rPr>
      </w:pPr>
      <w:r w:rsidRPr="00131012">
        <w:rPr>
          <w:rFonts w:ascii="宋体" w:hAnsi="宋体" w:eastAsia="宋体" w:cs="宋体"/>
          <w:bCs/>
          <w:iCs/>
          <w:color w:val="000000"/>
          <w:szCs w:val="21"/>
        </w:rPr>
        <w:t>2.</w:t>
      </w:r>
      <w:r w:rsidRPr="00131012">
        <w:rPr>
          <w:rFonts w:hint="eastAsia" w:ascii="宋体" w:hAnsi="宋体" w:eastAsia="宋体" w:cs="宋体"/>
          <w:bCs/>
          <w:iCs/>
          <w:color w:val="000000"/>
          <w:szCs w:val="21"/>
        </w:rPr>
        <w:t>经济周期风险：宏观经济运行具有周期性特点，受其影响，理财产品</w:t>
      </w:r>
      <w:r w:rsidRPr="00131012">
        <w:rPr>
          <w:rFonts w:ascii="宋体" w:hAnsi="宋体" w:eastAsia="宋体" w:cs="宋体"/>
          <w:bCs/>
          <w:iCs/>
          <w:color w:val="000000"/>
          <w:szCs w:val="21"/>
        </w:rPr>
        <w:t>的收益水平</w:t>
      </w:r>
      <w:r w:rsidRPr="00131012">
        <w:rPr>
          <w:rFonts w:hint="eastAsia" w:ascii="宋体" w:hAnsi="宋体" w:eastAsia="宋体" w:cs="宋体"/>
          <w:bCs/>
          <w:iCs/>
          <w:color w:val="000000"/>
          <w:szCs w:val="21"/>
        </w:rPr>
        <w:t>也会发生变化</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可能</w:t>
      </w:r>
      <w:r w:rsidRPr="00131012">
        <w:rPr>
          <w:rFonts w:ascii="宋体" w:hAnsi="宋体" w:eastAsia="宋体" w:cs="宋体"/>
          <w:bCs/>
          <w:iCs/>
          <w:color w:val="000000"/>
          <w:szCs w:val="21"/>
        </w:rPr>
        <w:t>对理财</w:t>
      </w:r>
      <w:r w:rsidRPr="00131012">
        <w:rPr>
          <w:rFonts w:hint="eastAsia" w:ascii="宋体" w:hAnsi="宋体" w:eastAsia="宋体" w:cs="宋体"/>
          <w:bCs/>
          <w:iCs/>
          <w:color w:val="000000"/>
          <w:szCs w:val="21"/>
        </w:rPr>
        <w:t>产品收益产生不利影响。</w:t>
      </w:r>
    </w:p>
    <w:p w:rsidRPr="00131012" w:rsidR="00B15CD4" w:rsidP="00B15CD4" w:rsidRDefault="00B15CD4" w14:paraId="2A1C5197" w14:textId="77777777">
      <w:pPr>
        <w:spacing w:line="360" w:lineRule="auto"/>
        <w:ind w:firstLine="420" w:firstLineChars="200"/>
        <w:rPr>
          <w:rFonts w:ascii="宋体" w:hAnsi="宋体" w:eastAsia="宋体" w:cs="宋体"/>
          <w:bCs/>
          <w:iCs/>
          <w:color w:val="000000"/>
          <w:szCs w:val="21"/>
        </w:rPr>
      </w:pPr>
      <w:r w:rsidRPr="00131012">
        <w:rPr>
          <w:rFonts w:ascii="宋体" w:hAnsi="宋体" w:eastAsia="宋体" w:cs="宋体"/>
          <w:bCs/>
          <w:iCs/>
          <w:color w:val="000000"/>
          <w:szCs w:val="21"/>
        </w:rPr>
        <w:t>3.</w:t>
      </w:r>
      <w:r w:rsidRPr="00131012">
        <w:rPr>
          <w:rFonts w:hint="eastAsia" w:ascii="宋体" w:hAnsi="宋体" w:eastAsia="宋体" w:cs="宋体"/>
          <w:bCs/>
          <w:iCs/>
          <w:color w:val="000000"/>
          <w:szCs w:val="21"/>
        </w:rPr>
        <w:t>利率风险：受宏观经济环境变化等的影响，市场利率存在波动的可能性。利率波动会导致资产价格和收益率发生变动，从而对理财产品收益产生影响。</w:t>
      </w:r>
    </w:p>
    <w:p w:rsidRPr="00131012" w:rsidR="00B15CD4" w:rsidP="00B15CD4" w:rsidRDefault="00B15CD4" w14:paraId="1B72DFE8" w14:textId="77777777">
      <w:pPr>
        <w:spacing w:line="360" w:lineRule="auto"/>
        <w:ind w:firstLine="420" w:firstLineChars="200"/>
        <w:rPr>
          <w:rFonts w:ascii="宋体" w:hAnsi="宋体" w:eastAsia="宋体" w:cs="宋体"/>
          <w:bCs/>
          <w:iCs/>
          <w:color w:val="000000"/>
          <w:szCs w:val="21"/>
        </w:rPr>
      </w:pPr>
      <w:r w:rsidRPr="00131012">
        <w:rPr>
          <w:rFonts w:ascii="宋体" w:hAnsi="宋体" w:eastAsia="宋体" w:cs="宋体"/>
          <w:bCs/>
          <w:iCs/>
          <w:color w:val="000000"/>
          <w:szCs w:val="21"/>
        </w:rPr>
        <w:t>4.</w:t>
      </w:r>
      <w:r w:rsidRPr="00131012">
        <w:rPr>
          <w:rFonts w:hint="eastAsia" w:ascii="宋体" w:hAnsi="宋体" w:eastAsia="宋体" w:cs="宋体"/>
          <w:bCs/>
          <w:iCs/>
          <w:color w:val="000000"/>
          <w:szCs w:val="21"/>
        </w:rPr>
        <w:t>购买力风险：如果发生通货膨胀，则投资于证券所获得的收益可能会被通货膨胀抵消，从而对理财产品收益产生影响。</w:t>
      </w:r>
    </w:p>
    <w:p w:rsidRPr="00131012" w:rsidR="00B15CD4" w:rsidP="00B15CD4" w:rsidRDefault="00B15CD4" w14:paraId="210476CA" w14:textId="77777777">
      <w:pPr>
        <w:spacing w:line="360" w:lineRule="auto"/>
        <w:ind w:firstLine="420" w:firstLineChars="200"/>
        <w:rPr>
          <w:rFonts w:ascii="宋体" w:hAnsi="宋体" w:eastAsia="宋体" w:cs="宋体"/>
          <w:bCs/>
          <w:iCs/>
          <w:color w:val="000000"/>
          <w:szCs w:val="21"/>
        </w:rPr>
      </w:pPr>
      <w:r w:rsidRPr="00131012">
        <w:rPr>
          <w:rFonts w:ascii="宋体" w:hAnsi="宋体" w:eastAsia="宋体" w:cs="宋体"/>
          <w:bCs/>
          <w:iCs/>
          <w:color w:val="000000"/>
          <w:szCs w:val="21"/>
        </w:rPr>
        <w:t>5.</w:t>
      </w:r>
      <w:r w:rsidRPr="00131012">
        <w:rPr>
          <w:rFonts w:hint="eastAsia" w:ascii="宋体" w:hAnsi="宋体" w:eastAsia="宋体" w:cs="宋体"/>
          <w:bCs/>
          <w:iCs/>
          <w:color w:val="000000"/>
          <w:szCs w:val="21"/>
        </w:rPr>
        <w:t>汇率风险：本理财产品在实际投资运作过程中，由于汇率市场出现巨大变化造成本理财产品所投资产价格发生波动，从而影响理财产品投资收益的，投资者的</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和收益可能遭受部分或全部的损失。</w:t>
      </w:r>
    </w:p>
    <w:p w:rsidRPr="00131012" w:rsidR="00B15CD4" w:rsidP="00B15CD4" w:rsidRDefault="00B15CD4" w14:paraId="434DDD01"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6</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通货膨胀风险：本产品存在实际收益率可能低于通货膨胀率，从而导致投资者实际收益为负的风险。</w:t>
      </w:r>
    </w:p>
    <w:p w:rsidRPr="00131012" w:rsidR="00B15CD4" w:rsidP="00B15CD4" w:rsidRDefault="00B15CD4" w14:paraId="1D243CFE"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（三）信用风险：</w:t>
      </w:r>
      <w:r w:rsidRPr="00131012">
        <w:rPr>
          <w:rFonts w:hint="eastAsia" w:ascii="宋体" w:hAnsi="宋体" w:eastAsia="宋体" w:cs="宋体"/>
          <w:bCs/>
          <w:iCs/>
          <w:color w:val="000000"/>
          <w:szCs w:val="21"/>
        </w:rPr>
        <w:t>本理财产品可投资于固定收益类资产等，因此有可能由于发行主体或交易对手信用状况恶化导致交易违约，致使本理财产品到期实际收益不足业绩比较基准，该种情况下，管理人将按照投资实际收益情况，并以资产变现实际收到的资金为限向投资者支付，投资者将自行承担由此而导致的理财</w:t>
      </w:r>
      <w:r>
        <w:rPr>
          <w:rFonts w:hint="eastAsia" w:ascii="宋体" w:hAnsi="宋体" w:eastAsia="宋体" w:cs="宋体"/>
          <w:bCs/>
          <w:iCs/>
          <w:color w:val="000000"/>
          <w:szCs w:val="21"/>
        </w:rPr>
        <w:t>产品</w:t>
      </w:r>
      <w:r w:rsidRPr="00131012">
        <w:rPr>
          <w:rFonts w:hint="eastAsia" w:ascii="宋体" w:hAnsi="宋体" w:eastAsia="宋体" w:cs="宋体"/>
          <w:bCs/>
          <w:iCs/>
          <w:color w:val="000000"/>
          <w:szCs w:val="21"/>
        </w:rPr>
        <w:t>收益减少乃至</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损失的风险。本理财产品运作过程中，管理人将密切关注投资组合信用风险变化，根据债务人等信用等级的调整及时调整投资组合，尽最大努力管理信用风险。</w:t>
      </w:r>
    </w:p>
    <w:p w:rsidRPr="00131012" w:rsidR="00B15CD4" w:rsidP="00B15CD4" w:rsidRDefault="00B15CD4" w14:paraId="124496A5"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lastRenderedPageBreak/>
        <w:t>（四）政策风险：</w:t>
      </w:r>
      <w:r w:rsidRPr="00131012">
        <w:rPr>
          <w:rFonts w:hint="eastAsia" w:ascii="宋体" w:hAnsi="宋体" w:eastAsia="宋体" w:cs="宋体"/>
          <w:bCs/>
          <w:iCs/>
          <w:color w:val="000000"/>
          <w:szCs w:val="21"/>
        </w:rPr>
        <w:t>本理财产品根据当前有效的法律法规、监管规定设计，如货币政策、财政税收政策、产业政策、投资政策、金融政策等国家宏观政策以及市场相关法规发生变化，可能影响理财产品的正常投资运作，投资者的</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和收益可能遭受部分或全部的损失。另外，管理人因监管政策变化或监管部门要求对本理财产品相关要素进行调整，可能会对投资者的</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和收益造成不利影响。</w:t>
      </w:r>
    </w:p>
    <w:p w:rsidR="00B15CD4" w:rsidP="00B15CD4" w:rsidRDefault="00B15CD4" w14:paraId="6C53FE85"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（五）流动性风险：</w:t>
      </w:r>
    </w:p>
    <w:p w:rsidRPr="00E62E63" w:rsidR="00B15CD4" w:rsidP="00B15CD4" w:rsidRDefault="00B15CD4" w14:paraId="6D583890" w14:textId="77777777">
      <w:pPr>
        <w:spacing w:line="360" w:lineRule="auto"/>
        <w:ind w:firstLine="422" w:firstLineChars="200"/>
        <w:rPr>
          <w:rFonts w:ascii="宋体" w:hAnsi="宋体" w:eastAsia="宋体" w:cs="宋体"/>
          <w:b/>
          <w:bCs/>
          <w:iCs/>
          <w:color w:val="000000"/>
          <w:szCs w:val="21"/>
        </w:rPr>
      </w:pPr>
      <w:r>
        <w:rPr>
          <w:rFonts w:hint="eastAsia" w:ascii="宋体" w:hAnsi="宋体" w:eastAsia="宋体" w:cs="宋体"/>
          <w:b/>
          <w:bCs/>
          <w:iCs/>
          <w:color w:val="000000"/>
          <w:szCs w:val="21"/>
        </w:rPr>
        <w:t>1</w:t>
      </w:r>
      <w:r>
        <w:rPr>
          <w:rFonts w:ascii="宋体" w:hAnsi="宋体" w:eastAsia="宋体" w:cs="宋体"/>
          <w:b/>
          <w:bCs/>
          <w:iCs/>
          <w:color w:val="000000"/>
          <w:szCs w:val="21"/>
        </w:rPr>
        <w:t>.</w:t>
      </w:r>
      <w:r>
        <w:rPr>
          <w:rFonts w:hint="eastAsia" w:ascii="宋体" w:hAnsi="宋体" w:eastAsia="宋体" w:cs="宋体"/>
          <w:b/>
          <w:bCs/>
          <w:iCs/>
          <w:color w:val="000000"/>
          <w:szCs w:val="21"/>
        </w:rPr>
        <w:t>本产品</w:t>
      </w:r>
      <w:r w:rsidRPr="00E62E63">
        <w:rPr>
          <w:rFonts w:hint="eastAsia" w:ascii="宋体" w:hAnsi="宋体" w:eastAsia="宋体" w:cs="宋体"/>
          <w:b/>
          <w:bCs/>
          <w:iCs/>
          <w:color w:val="000000"/>
          <w:szCs w:val="21"/>
        </w:rPr>
        <w:t>主要拟投资市场、资产的流动性风险：</w:t>
      </w:r>
      <w:r w:rsidRPr="00AE0FB6">
        <w:rPr>
          <w:rFonts w:hint="eastAsia" w:ascii="宋体" w:hAnsi="宋体" w:eastAsia="宋体" w:cs="宋体"/>
          <w:bCs/>
          <w:iCs/>
          <w:color w:val="000000"/>
          <w:szCs w:val="21"/>
        </w:rPr>
        <w:t>（</w:t>
      </w:r>
      <w:r w:rsidRPr="00DD65C6">
        <w:rPr>
          <w:rFonts w:hint="eastAsia" w:ascii="宋体" w:hAnsi="宋体" w:eastAsia="宋体" w:cs="宋体"/>
          <w:bCs/>
          <w:iCs/>
          <w:color w:val="000000"/>
          <w:szCs w:val="21"/>
        </w:rPr>
        <w:t>1）</w:t>
      </w:r>
      <w:r>
        <w:rPr>
          <w:rFonts w:hint="eastAsia" w:ascii="宋体" w:hAnsi="宋体" w:eastAsia="宋体" w:cs="宋体"/>
          <w:bCs/>
          <w:iCs/>
          <w:color w:val="000000"/>
          <w:szCs w:val="21"/>
        </w:rPr>
        <w:t>在市场流动性相对不足时</w:t>
      </w:r>
      <w:r w:rsidRPr="00DD65C6">
        <w:rPr>
          <w:rFonts w:hint="eastAsia" w:ascii="宋体" w:hAnsi="宋体" w:eastAsia="宋体" w:cs="宋体"/>
          <w:bCs/>
          <w:iCs/>
          <w:color w:val="000000"/>
          <w:szCs w:val="21"/>
        </w:rPr>
        <w:t>，对于流动性</w:t>
      </w:r>
      <w:r>
        <w:rPr>
          <w:rFonts w:hint="eastAsia" w:ascii="宋体" w:hAnsi="宋体" w:eastAsia="宋体" w:cs="宋体"/>
          <w:bCs/>
          <w:iCs/>
          <w:color w:val="000000"/>
          <w:szCs w:val="21"/>
        </w:rPr>
        <w:t>较</w:t>
      </w:r>
      <w:r w:rsidRPr="00DD65C6">
        <w:rPr>
          <w:rFonts w:hint="eastAsia" w:ascii="宋体" w:hAnsi="宋体" w:eastAsia="宋体" w:cs="宋体"/>
          <w:bCs/>
          <w:iCs/>
          <w:color w:val="000000"/>
          <w:szCs w:val="21"/>
        </w:rPr>
        <w:t>好的标的资产，可能</w:t>
      </w:r>
      <w:r>
        <w:rPr>
          <w:rFonts w:hint="eastAsia" w:ascii="宋体" w:hAnsi="宋体" w:eastAsia="宋体" w:cs="宋体"/>
          <w:bCs/>
          <w:iCs/>
          <w:color w:val="000000"/>
          <w:szCs w:val="21"/>
        </w:rPr>
        <w:t>面临因</w:t>
      </w:r>
      <w:r w:rsidRPr="00DD65C6">
        <w:rPr>
          <w:rFonts w:hint="eastAsia" w:ascii="宋体" w:hAnsi="宋体" w:eastAsia="宋体" w:cs="宋体"/>
          <w:bCs/>
          <w:iCs/>
          <w:color w:val="000000"/>
          <w:szCs w:val="21"/>
        </w:rPr>
        <w:t>成交少、流动性较差的情况</w:t>
      </w:r>
      <w:r>
        <w:rPr>
          <w:rFonts w:hint="eastAsia" w:ascii="宋体" w:hAnsi="宋体" w:eastAsia="宋体" w:cs="宋体"/>
          <w:bCs/>
          <w:iCs/>
          <w:color w:val="000000"/>
          <w:szCs w:val="21"/>
        </w:rPr>
        <w:t>从而</w:t>
      </w:r>
      <w:r w:rsidRPr="00DD65C6">
        <w:rPr>
          <w:rFonts w:hint="eastAsia" w:ascii="宋体" w:hAnsi="宋体" w:eastAsia="宋体" w:cs="宋体"/>
          <w:bCs/>
          <w:iCs/>
          <w:color w:val="000000"/>
          <w:szCs w:val="21"/>
        </w:rPr>
        <w:t>增加变现成本或出现变现困难；</w:t>
      </w:r>
      <w:r w:rsidRPr="007D5C88">
        <w:rPr>
          <w:rFonts w:hint="eastAsia" w:ascii="宋体" w:hAnsi="宋体" w:eastAsia="宋体" w:cs="宋体"/>
          <w:bCs/>
          <w:iCs/>
          <w:color w:val="000000"/>
          <w:szCs w:val="21"/>
        </w:rPr>
        <w:t>（</w:t>
      </w:r>
      <w:r w:rsidRPr="00DD65C6">
        <w:rPr>
          <w:rFonts w:hint="eastAsia" w:ascii="宋体" w:hAnsi="宋体" w:eastAsia="宋体" w:cs="宋体"/>
          <w:bCs/>
          <w:iCs/>
          <w:color w:val="000000"/>
          <w:szCs w:val="21"/>
        </w:rPr>
        <w:t>2）在市场流动性较好的情况下</w:t>
      </w:r>
      <w:r>
        <w:rPr>
          <w:rFonts w:hint="eastAsia" w:ascii="宋体" w:hAnsi="宋体" w:eastAsia="宋体" w:cs="宋体"/>
          <w:bCs/>
          <w:iCs/>
          <w:color w:val="000000"/>
          <w:szCs w:val="21"/>
        </w:rPr>
        <w:t>，对于</w:t>
      </w:r>
      <w:r w:rsidRPr="00DD65C6">
        <w:rPr>
          <w:rFonts w:hint="eastAsia" w:ascii="宋体" w:hAnsi="宋体" w:eastAsia="宋体" w:cs="宋体"/>
          <w:bCs/>
          <w:iCs/>
          <w:color w:val="000000"/>
          <w:szCs w:val="21"/>
        </w:rPr>
        <w:t>成交少，流动性低</w:t>
      </w:r>
      <w:r>
        <w:rPr>
          <w:rFonts w:hint="eastAsia" w:ascii="宋体" w:hAnsi="宋体" w:eastAsia="宋体" w:cs="宋体"/>
          <w:bCs/>
          <w:iCs/>
          <w:color w:val="000000"/>
          <w:szCs w:val="21"/>
        </w:rPr>
        <w:t>的标的资产</w:t>
      </w:r>
      <w:r w:rsidRPr="00DD65C6">
        <w:rPr>
          <w:rFonts w:hint="eastAsia" w:ascii="宋体" w:hAnsi="宋体" w:eastAsia="宋体" w:cs="宋体"/>
          <w:bCs/>
          <w:iCs/>
          <w:color w:val="000000"/>
          <w:szCs w:val="21"/>
        </w:rPr>
        <w:t>，</w:t>
      </w:r>
      <w:r>
        <w:rPr>
          <w:rFonts w:hint="eastAsia" w:ascii="宋体" w:hAnsi="宋体" w:eastAsia="宋体" w:cs="宋体"/>
          <w:bCs/>
          <w:iCs/>
          <w:color w:val="000000"/>
          <w:szCs w:val="21"/>
        </w:rPr>
        <w:t>可能面临因</w:t>
      </w:r>
      <w:r w:rsidRPr="00DD65C6">
        <w:rPr>
          <w:rFonts w:hint="eastAsia" w:ascii="宋体" w:hAnsi="宋体" w:eastAsia="宋体" w:cs="宋体"/>
          <w:bCs/>
          <w:iCs/>
          <w:color w:val="000000"/>
          <w:szCs w:val="21"/>
        </w:rPr>
        <w:t>流动性较差</w:t>
      </w:r>
      <w:r>
        <w:rPr>
          <w:rFonts w:hint="eastAsia" w:ascii="宋体" w:hAnsi="宋体" w:eastAsia="宋体" w:cs="宋体"/>
          <w:bCs/>
          <w:iCs/>
          <w:color w:val="000000"/>
          <w:szCs w:val="21"/>
        </w:rPr>
        <w:t>问题</w:t>
      </w:r>
      <w:r w:rsidRPr="00DD65C6">
        <w:rPr>
          <w:rFonts w:hint="eastAsia" w:ascii="宋体" w:hAnsi="宋体" w:eastAsia="宋体" w:cs="宋体"/>
          <w:bCs/>
          <w:iCs/>
          <w:color w:val="000000"/>
          <w:szCs w:val="21"/>
        </w:rPr>
        <w:t>造成无法以合理价格买入或卖出的情形；</w:t>
      </w:r>
      <w:r w:rsidRPr="007D5C88">
        <w:rPr>
          <w:rFonts w:hint="eastAsia" w:ascii="宋体" w:hAnsi="宋体" w:eastAsia="宋体" w:cs="宋体"/>
          <w:bCs/>
          <w:iCs/>
          <w:color w:val="000000"/>
          <w:szCs w:val="21"/>
        </w:rPr>
        <w:t>（</w:t>
      </w:r>
      <w:r>
        <w:rPr>
          <w:rFonts w:ascii="宋体" w:hAnsi="宋体" w:eastAsia="宋体" w:cs="宋体"/>
          <w:bCs/>
          <w:iCs/>
          <w:color w:val="000000"/>
          <w:szCs w:val="21"/>
        </w:rPr>
        <w:t>3</w:t>
      </w:r>
      <w:r w:rsidRPr="00DD65C6">
        <w:rPr>
          <w:rFonts w:hint="eastAsia" w:ascii="宋体" w:hAnsi="宋体" w:eastAsia="宋体" w:cs="宋体"/>
          <w:bCs/>
          <w:iCs/>
          <w:color w:val="000000"/>
          <w:szCs w:val="21"/>
        </w:rPr>
        <w:t>）</w:t>
      </w:r>
      <w:r>
        <w:rPr>
          <w:rFonts w:hint="eastAsia" w:ascii="宋体" w:hAnsi="宋体" w:eastAsia="宋体" w:cs="宋体"/>
          <w:bCs/>
          <w:iCs/>
          <w:color w:val="000000"/>
          <w:szCs w:val="21"/>
        </w:rPr>
        <w:t>如</w:t>
      </w:r>
      <w:r w:rsidRPr="00DD65C6">
        <w:rPr>
          <w:rFonts w:hint="eastAsia" w:ascii="宋体" w:hAnsi="宋体" w:eastAsia="宋体" w:cs="宋体"/>
          <w:bCs/>
          <w:iCs/>
          <w:color w:val="000000"/>
          <w:szCs w:val="21"/>
        </w:rPr>
        <w:t>投资不存在活跃交易市场且需要采用估值技术确定公允价值的低流动性资产，即使管理人</w:t>
      </w:r>
      <w:r>
        <w:rPr>
          <w:rFonts w:hint="eastAsia" w:ascii="宋体" w:hAnsi="宋体" w:eastAsia="宋体" w:cs="宋体"/>
          <w:bCs/>
          <w:iCs/>
          <w:color w:val="000000"/>
          <w:szCs w:val="21"/>
        </w:rPr>
        <w:t>按照相关法律法规规定及产品</w:t>
      </w:r>
      <w:r w:rsidRPr="00DD65C6">
        <w:rPr>
          <w:rFonts w:hint="eastAsia" w:ascii="宋体" w:hAnsi="宋体" w:eastAsia="宋体" w:cs="宋体"/>
          <w:bCs/>
          <w:iCs/>
          <w:color w:val="000000"/>
          <w:szCs w:val="21"/>
        </w:rPr>
        <w:t>投资管理需求对该类资产的投资比例进行限制，但仍存在低流动性资产无法变现或处置或以不适当的价格处置的情况</w:t>
      </w:r>
      <w:r>
        <w:rPr>
          <w:rFonts w:hint="eastAsia" w:ascii="宋体" w:hAnsi="宋体" w:eastAsia="宋体" w:cs="宋体"/>
          <w:bCs/>
          <w:iCs/>
          <w:color w:val="000000"/>
          <w:szCs w:val="21"/>
        </w:rPr>
        <w:t>；</w:t>
      </w:r>
      <w:r w:rsidRPr="007D5C88">
        <w:rPr>
          <w:rFonts w:hint="eastAsia" w:ascii="宋体" w:hAnsi="宋体" w:eastAsia="宋体" w:cs="宋体"/>
          <w:bCs/>
          <w:iCs/>
          <w:color w:val="000000"/>
          <w:szCs w:val="21"/>
        </w:rPr>
        <w:t>（</w:t>
      </w:r>
      <w:r>
        <w:rPr>
          <w:rFonts w:ascii="宋体" w:hAnsi="宋体" w:eastAsia="宋体" w:cs="宋体"/>
          <w:bCs/>
          <w:iCs/>
          <w:color w:val="000000"/>
          <w:szCs w:val="21"/>
        </w:rPr>
        <w:t>4</w:t>
      </w:r>
      <w:r w:rsidRPr="00DD65C6">
        <w:rPr>
          <w:rFonts w:hint="eastAsia" w:ascii="宋体" w:hAnsi="宋体" w:eastAsia="宋体" w:cs="宋体"/>
          <w:bCs/>
          <w:iCs/>
          <w:color w:val="000000"/>
          <w:szCs w:val="21"/>
        </w:rPr>
        <w:t>）</w:t>
      </w:r>
      <w:r>
        <w:rPr>
          <w:rFonts w:hint="eastAsia" w:ascii="宋体" w:hAnsi="宋体" w:eastAsia="宋体" w:cs="宋体"/>
          <w:bCs/>
          <w:iCs/>
          <w:color w:val="000000"/>
          <w:szCs w:val="21"/>
        </w:rPr>
        <w:t>在应由理财产品承担的</w:t>
      </w:r>
      <w:r w:rsidRPr="00DD65C6">
        <w:rPr>
          <w:rFonts w:hint="eastAsia" w:ascii="宋体" w:hAnsi="宋体" w:eastAsia="宋体" w:cs="宋体"/>
          <w:bCs/>
          <w:iCs/>
          <w:color w:val="000000"/>
          <w:szCs w:val="21"/>
        </w:rPr>
        <w:t>支付义务，管理人</w:t>
      </w:r>
      <w:r>
        <w:rPr>
          <w:rFonts w:hint="eastAsia" w:ascii="宋体" w:hAnsi="宋体" w:eastAsia="宋体" w:cs="宋体"/>
          <w:bCs/>
          <w:iCs/>
          <w:color w:val="000000"/>
          <w:szCs w:val="21"/>
        </w:rPr>
        <w:t>在现金类资产不足的情况下，面临</w:t>
      </w:r>
      <w:r w:rsidRPr="00DD65C6">
        <w:rPr>
          <w:rFonts w:hint="eastAsia" w:ascii="宋体" w:hAnsi="宋体" w:eastAsia="宋体" w:cs="宋体"/>
          <w:bCs/>
          <w:iCs/>
          <w:color w:val="000000"/>
          <w:szCs w:val="21"/>
        </w:rPr>
        <w:t>以不适当的价格卖出</w:t>
      </w:r>
      <w:r>
        <w:rPr>
          <w:rFonts w:hint="eastAsia" w:ascii="宋体" w:hAnsi="宋体" w:eastAsia="宋体" w:cs="宋体"/>
          <w:bCs/>
          <w:iCs/>
          <w:color w:val="000000"/>
          <w:szCs w:val="21"/>
        </w:rPr>
        <w:t>标的资产的风险。</w:t>
      </w:r>
    </w:p>
    <w:p w:rsidRPr="00DD65C6" w:rsidR="00B15CD4" w:rsidP="00B15CD4" w:rsidRDefault="00B15CD4" w14:paraId="6C7EDD14" w14:textId="77777777">
      <w:pPr>
        <w:spacing w:line="360" w:lineRule="auto"/>
        <w:ind w:firstLine="420" w:firstLineChars="200"/>
        <w:rPr>
          <w:rFonts w:ascii="宋体" w:hAnsi="宋体" w:eastAsia="宋体" w:cs="宋体"/>
          <w:bCs/>
          <w:iCs/>
          <w:color w:val="000000"/>
          <w:szCs w:val="21"/>
        </w:rPr>
      </w:pPr>
      <w:r w:rsidRPr="00DD65C6">
        <w:rPr>
          <w:rFonts w:hint="eastAsia" w:ascii="宋体" w:hAnsi="宋体" w:eastAsia="宋体" w:cs="宋体"/>
          <w:bCs/>
          <w:iCs/>
          <w:color w:val="000000"/>
          <w:szCs w:val="21"/>
        </w:rPr>
        <w:t>以上</w:t>
      </w:r>
      <w:r>
        <w:rPr>
          <w:rFonts w:hint="eastAsia" w:ascii="宋体" w:hAnsi="宋体" w:eastAsia="宋体" w:cs="宋体"/>
          <w:bCs/>
          <w:iCs/>
          <w:color w:val="000000"/>
          <w:szCs w:val="21"/>
        </w:rPr>
        <w:t>情况</w:t>
      </w:r>
      <w:r w:rsidRPr="00DD65C6">
        <w:rPr>
          <w:rFonts w:hint="eastAsia" w:ascii="宋体" w:hAnsi="宋体" w:eastAsia="宋体" w:cs="宋体"/>
          <w:bCs/>
          <w:iCs/>
          <w:color w:val="000000"/>
          <w:szCs w:val="21"/>
        </w:rPr>
        <w:t>可能</w:t>
      </w:r>
      <w:r>
        <w:rPr>
          <w:rFonts w:hint="eastAsia" w:ascii="宋体" w:hAnsi="宋体" w:eastAsia="宋体" w:cs="宋体"/>
          <w:bCs/>
          <w:iCs/>
          <w:color w:val="000000"/>
          <w:szCs w:val="21"/>
        </w:rPr>
        <w:t>对</w:t>
      </w:r>
      <w:r w:rsidRPr="00DD65C6">
        <w:rPr>
          <w:rFonts w:hint="eastAsia" w:ascii="宋体" w:hAnsi="宋体" w:eastAsia="宋体" w:cs="宋体"/>
          <w:bCs/>
          <w:iCs/>
          <w:color w:val="000000"/>
          <w:szCs w:val="21"/>
        </w:rPr>
        <w:t>本理财</w:t>
      </w:r>
      <w:r>
        <w:rPr>
          <w:rFonts w:hint="eastAsia" w:ascii="宋体" w:hAnsi="宋体" w:eastAsia="宋体" w:cs="宋体"/>
          <w:bCs/>
          <w:iCs/>
          <w:color w:val="000000"/>
          <w:szCs w:val="21"/>
        </w:rPr>
        <w:t>产品</w:t>
      </w:r>
      <w:r w:rsidRPr="00DD65C6">
        <w:rPr>
          <w:rFonts w:hint="eastAsia" w:ascii="宋体" w:hAnsi="宋体" w:eastAsia="宋体" w:cs="宋体"/>
          <w:bCs/>
          <w:iCs/>
          <w:color w:val="000000"/>
          <w:szCs w:val="21"/>
        </w:rPr>
        <w:t>投资收益、投资者赎回安排</w:t>
      </w:r>
      <w:r>
        <w:rPr>
          <w:rFonts w:hint="eastAsia" w:ascii="宋体" w:hAnsi="宋体" w:eastAsia="宋体" w:cs="宋体"/>
          <w:bCs/>
          <w:iCs/>
          <w:color w:val="000000"/>
          <w:szCs w:val="21"/>
        </w:rPr>
        <w:t>造成不利影响</w:t>
      </w:r>
      <w:r w:rsidRPr="00DD65C6">
        <w:rPr>
          <w:rFonts w:hint="eastAsia" w:ascii="宋体" w:hAnsi="宋体" w:eastAsia="宋体" w:cs="宋体"/>
          <w:bCs/>
          <w:iCs/>
          <w:color w:val="000000"/>
          <w:szCs w:val="21"/>
        </w:rPr>
        <w:t>，甚至使本理财</w:t>
      </w:r>
      <w:r>
        <w:rPr>
          <w:rFonts w:hint="eastAsia" w:ascii="宋体" w:hAnsi="宋体" w:eastAsia="宋体" w:cs="宋体"/>
          <w:bCs/>
          <w:iCs/>
          <w:color w:val="000000"/>
          <w:szCs w:val="21"/>
        </w:rPr>
        <w:t>产品</w:t>
      </w:r>
      <w:r w:rsidRPr="00DD65C6">
        <w:rPr>
          <w:rFonts w:hint="eastAsia" w:ascii="宋体" w:hAnsi="宋体" w:eastAsia="宋体" w:cs="宋体"/>
          <w:bCs/>
          <w:iCs/>
          <w:color w:val="000000"/>
          <w:szCs w:val="21"/>
        </w:rPr>
        <w:t>遭受损失。</w:t>
      </w:r>
    </w:p>
    <w:p w:rsidR="00B15CD4" w:rsidP="00D21B4B" w:rsidRDefault="00B15CD4" w14:paraId="59F43057" w14:textId="54B040A6">
      <w:pPr>
        <w:spacing w:line="360" w:lineRule="auto"/>
        <w:ind w:firstLine="420" w:firstLineChars="200"/>
        <w:rPr>
          <w:rFonts w:ascii="宋体" w:hAnsi="宋体" w:eastAsia="宋体" w:cs="宋体"/>
          <w:bCs/>
          <w:iCs/>
          <w:color w:val="000000"/>
          <w:szCs w:val="21"/>
        </w:rPr>
      </w:pPr>
      <w:r>
        <w:rPr>
          <w:rFonts w:hint="eastAsia" w:ascii="宋体" w:hAnsi="宋体" w:eastAsia="宋体" w:cs="宋体"/>
          <w:bCs/>
          <w:iCs/>
          <w:color w:val="000000"/>
          <w:szCs w:val="21"/>
        </w:rPr>
        <w:t>2</w:t>
      </w:r>
      <w:r>
        <w:rPr>
          <w:rFonts w:ascii="宋体" w:hAnsi="宋体" w:eastAsia="宋体" w:cs="宋体"/>
          <w:bCs/>
          <w:iCs/>
          <w:color w:val="000000"/>
          <w:szCs w:val="21"/>
        </w:rPr>
        <w:t>.</w:t>
      </w:r>
      <w:r>
        <w:rPr>
          <w:rFonts w:hint="eastAsia" w:ascii="宋体" w:hAnsi="宋体" w:eastAsia="宋体" w:cs="宋体"/>
          <w:bCs/>
          <w:iCs/>
          <w:color w:val="000000"/>
          <w:szCs w:val="21"/>
        </w:rPr>
        <w:t>投资者资金流动性风险：</w:t>
      </w:r>
      <w:r w:rsidR="00D21B4B">
        <w:rPr>
          <w:rFonts w:hint="eastAsia" w:ascii="宋体" w:hAnsi="宋体" w:eastAsia="宋体" w:cs="宋体"/>
          <w:bCs/>
          <w:iCs/>
          <w:color w:val="000000"/>
          <w:szCs w:val="21"/>
        </w:rPr>
        <w:t>本理财产品</w:t>
      </w:r>
      <w:r w:rsidRPr="00D21B4B" w:rsidR="00D21B4B">
        <w:rPr>
          <w:rFonts w:hint="eastAsia" w:ascii="宋体" w:hAnsi="宋体" w:eastAsia="宋体" w:cs="宋体"/>
          <w:bCs/>
          <w:iCs/>
          <w:color w:val="000000"/>
          <w:szCs w:val="21"/>
        </w:rPr>
        <w:t>每日开放申购和赎回。</w:t>
      </w:r>
      <w:r w:rsidRPr="00C53564" w:rsidR="001972DD">
        <w:rPr>
          <w:rFonts w:hint="eastAsia" w:ascii="宋体" w:hAnsi="宋体" w:eastAsia="宋体" w:cs="宋体"/>
          <w:bCs/>
          <w:iCs/>
          <w:color w:val="000000"/>
          <w:szCs w:val="21"/>
        </w:rPr>
        <w:t>发生巨额赎回或连续巨额赎回的，投资者面临不能及时赎回理财产品的风险。此外，因市场成交量不足、资产限制赎回、暂停交易、缺乏意愿交易对手，或资产相关债务主体未能在期限届满之时履行还款义务等原因，可能出现理财产品的现金不足或变现能力不足，投资者将面临无法及时赎回理财产品的风险</w:t>
      </w:r>
      <w:r w:rsidR="001972DD">
        <w:rPr>
          <w:rFonts w:hint="eastAsia" w:ascii="宋体" w:hAnsi="宋体" w:eastAsia="宋体" w:cs="宋体"/>
          <w:bCs/>
          <w:iCs/>
          <w:color w:val="000000"/>
          <w:szCs w:val="21"/>
        </w:rPr>
        <w:t>。</w:t>
      </w:r>
      <w:r>
        <w:rPr>
          <w:rFonts w:hint="eastAsia" w:ascii="宋体" w:hAnsi="宋体" w:eastAsia="宋体" w:cs="宋体"/>
          <w:bCs/>
          <w:iCs/>
          <w:color w:val="000000"/>
          <w:szCs w:val="21"/>
        </w:rPr>
        <w:t>上述安排可能影响投资者的资金流动性安排，带来流动性风险。投资者应当根据自身投资目标、投资期限等情况审慎作出投资决策。</w:t>
      </w:r>
    </w:p>
    <w:p w:rsidR="00B15CD4" w:rsidP="00B15CD4" w:rsidRDefault="00B15CD4" w14:paraId="07EF5EFD" w14:textId="08ACF1FB">
      <w:pPr>
        <w:spacing w:line="360" w:lineRule="auto"/>
        <w:ind w:firstLine="420" w:firstLineChars="200"/>
        <w:rPr>
          <w:rFonts w:ascii="宋体" w:hAnsi="宋体" w:eastAsia="宋体" w:cs="宋体"/>
          <w:bCs/>
          <w:iCs/>
          <w:color w:val="000000"/>
          <w:szCs w:val="21"/>
        </w:rPr>
      </w:pPr>
      <w:r>
        <w:rPr>
          <w:rFonts w:hint="eastAsia" w:ascii="宋体" w:hAnsi="宋体" w:eastAsia="宋体" w:cs="宋体"/>
          <w:bCs/>
          <w:iCs/>
          <w:color w:val="000000"/>
          <w:szCs w:val="21"/>
        </w:rPr>
        <w:t>3.</w:t>
      </w:r>
      <w:r w:rsidRPr="00112C8C">
        <w:rPr>
          <w:rFonts w:hint="eastAsia" w:ascii="宋体" w:hAnsi="宋体" w:eastAsia="宋体" w:cs="宋体"/>
          <w:bCs/>
          <w:iCs/>
          <w:color w:val="000000"/>
          <w:szCs w:val="21"/>
        </w:rPr>
        <w:t>为应对流动性风险，保护</w:t>
      </w:r>
      <w:r>
        <w:rPr>
          <w:rFonts w:hint="eastAsia" w:ascii="宋体" w:hAnsi="宋体" w:eastAsia="宋体" w:cs="宋体"/>
          <w:bCs/>
          <w:iCs/>
          <w:color w:val="000000"/>
          <w:szCs w:val="21"/>
        </w:rPr>
        <w:t>投资者利益，管理人可以综合运用以下理财产品流动性风险应对措施：</w:t>
      </w:r>
      <w:r w:rsidR="001972DD">
        <w:rPr>
          <w:rFonts w:hint="eastAsia" w:ascii="宋体" w:hAnsi="宋体" w:eastAsia="宋体" w:cs="宋体"/>
          <w:bCs/>
          <w:iCs/>
          <w:color w:val="000000"/>
          <w:szCs w:val="21"/>
        </w:rPr>
        <w:t>（1）认购/申购风险应对措施，包括：</w:t>
      </w:r>
      <w:r w:rsidRPr="00112C8C">
        <w:rPr>
          <w:rFonts w:hint="eastAsia" w:ascii="宋体" w:hAnsi="宋体" w:eastAsia="宋体" w:cs="宋体"/>
          <w:bCs/>
          <w:iCs/>
          <w:color w:val="000000"/>
          <w:szCs w:val="21"/>
        </w:rPr>
        <w:t>设定单一投资者认购</w:t>
      </w:r>
      <w:r w:rsidR="001972DD">
        <w:rPr>
          <w:rFonts w:hint="eastAsia" w:ascii="宋体" w:hAnsi="宋体" w:eastAsia="宋体" w:cs="宋体"/>
          <w:bCs/>
          <w:iCs/>
          <w:color w:val="000000"/>
          <w:szCs w:val="21"/>
        </w:rPr>
        <w:t>/申购</w:t>
      </w:r>
      <w:r w:rsidRPr="00112C8C">
        <w:rPr>
          <w:rFonts w:hint="eastAsia" w:ascii="宋体" w:hAnsi="宋体" w:eastAsia="宋体" w:cs="宋体"/>
          <w:bCs/>
          <w:iCs/>
          <w:color w:val="000000"/>
          <w:szCs w:val="21"/>
        </w:rPr>
        <w:t>金额上限、设定理财产品单日净认购</w:t>
      </w:r>
      <w:r w:rsidR="00164FA8">
        <w:rPr>
          <w:rFonts w:hint="eastAsia" w:ascii="宋体" w:hAnsi="宋体" w:eastAsia="宋体" w:cs="宋体"/>
          <w:bCs/>
          <w:iCs/>
          <w:color w:val="000000"/>
          <w:szCs w:val="21"/>
        </w:rPr>
        <w:t>/申购</w:t>
      </w:r>
      <w:r>
        <w:rPr>
          <w:rFonts w:hint="eastAsia" w:ascii="宋体" w:hAnsi="宋体" w:eastAsia="宋体" w:cs="宋体"/>
          <w:bCs/>
          <w:iCs/>
          <w:color w:val="000000"/>
          <w:szCs w:val="21"/>
        </w:rPr>
        <w:t>比例上限、拒绝大额认购</w:t>
      </w:r>
      <w:r w:rsidR="00164FA8">
        <w:rPr>
          <w:rFonts w:hint="eastAsia" w:ascii="宋体" w:hAnsi="宋体" w:eastAsia="宋体" w:cs="宋体"/>
          <w:bCs/>
          <w:iCs/>
          <w:color w:val="000000"/>
          <w:szCs w:val="21"/>
        </w:rPr>
        <w:t>/申购</w:t>
      </w:r>
      <w:r>
        <w:rPr>
          <w:rFonts w:hint="eastAsia" w:ascii="宋体" w:hAnsi="宋体" w:eastAsia="宋体" w:cs="宋体"/>
          <w:bCs/>
          <w:iCs/>
          <w:color w:val="000000"/>
          <w:szCs w:val="21"/>
        </w:rPr>
        <w:t>、暂停认购</w:t>
      </w:r>
      <w:r w:rsidR="00164FA8">
        <w:rPr>
          <w:rFonts w:hint="eastAsia" w:ascii="宋体" w:hAnsi="宋体" w:eastAsia="宋体" w:cs="宋体"/>
          <w:bCs/>
          <w:iCs/>
          <w:color w:val="000000"/>
          <w:szCs w:val="21"/>
        </w:rPr>
        <w:t>/申购</w:t>
      </w:r>
      <w:r>
        <w:rPr>
          <w:rFonts w:hint="eastAsia" w:ascii="宋体" w:hAnsi="宋体" w:eastAsia="宋体" w:cs="宋体"/>
          <w:bCs/>
          <w:iCs/>
          <w:color w:val="000000"/>
          <w:szCs w:val="21"/>
        </w:rPr>
        <w:t>，以及</w:t>
      </w:r>
      <w:r w:rsidRPr="001D400D">
        <w:rPr>
          <w:rFonts w:hint="eastAsia" w:ascii="宋体" w:hAnsi="宋体" w:eastAsia="宋体" w:cs="宋体"/>
          <w:bCs/>
          <w:iCs/>
          <w:color w:val="000000"/>
          <w:szCs w:val="21"/>
        </w:rPr>
        <w:t>国务院银行业监督管理机构</w:t>
      </w:r>
      <w:r>
        <w:rPr>
          <w:rFonts w:hint="eastAsia" w:ascii="宋体" w:hAnsi="宋体" w:eastAsia="宋体" w:cs="宋体"/>
          <w:bCs/>
          <w:iCs/>
          <w:color w:val="000000"/>
          <w:szCs w:val="21"/>
        </w:rPr>
        <w:t>规定的其他措施。</w:t>
      </w:r>
      <w:r w:rsidR="00164FA8">
        <w:rPr>
          <w:rFonts w:hint="eastAsia" w:ascii="宋体" w:hAnsi="宋体" w:eastAsia="宋体" w:cs="宋体"/>
          <w:bCs/>
          <w:iCs/>
          <w:color w:val="000000"/>
          <w:szCs w:val="21"/>
        </w:rPr>
        <w:t>（2）</w:t>
      </w:r>
      <w:r w:rsidRPr="00C53564" w:rsidR="00164FA8">
        <w:rPr>
          <w:rFonts w:hint="eastAsia" w:ascii="宋体" w:hAnsi="宋体" w:eastAsia="宋体" w:cs="宋体"/>
          <w:bCs/>
          <w:iCs/>
          <w:color w:val="000000"/>
          <w:szCs w:val="21"/>
        </w:rPr>
        <w:t>赎回风险应对措施，包括：设置赎回上限、延期办理巨额赎回申请、暂停接受赎回申请、延缓支付赎回款项、收取短期赎回费、暂停理财产品估值，以及</w:t>
      </w:r>
      <w:r w:rsidRPr="00164FA8" w:rsidR="00164FA8">
        <w:rPr>
          <w:rFonts w:hint="eastAsia" w:ascii="宋体" w:hAnsi="宋体" w:eastAsia="宋体" w:cs="宋体"/>
          <w:bCs/>
          <w:iCs/>
          <w:color w:val="000000"/>
          <w:szCs w:val="21"/>
        </w:rPr>
        <w:t>国务院银行业监督管理机构</w:t>
      </w:r>
      <w:r w:rsidRPr="00C53564" w:rsidR="00164FA8">
        <w:rPr>
          <w:rFonts w:hint="eastAsia" w:ascii="宋体" w:hAnsi="宋体" w:eastAsia="宋体" w:cs="宋体"/>
          <w:bCs/>
          <w:iCs/>
          <w:color w:val="000000"/>
          <w:szCs w:val="21"/>
        </w:rPr>
        <w:t>规定的其他措施。</w:t>
      </w:r>
      <w:r>
        <w:rPr>
          <w:rFonts w:hint="eastAsia" w:ascii="宋体" w:hAnsi="宋体" w:eastAsia="宋体" w:cs="宋体"/>
          <w:bCs/>
          <w:iCs/>
          <w:color w:val="000000"/>
          <w:szCs w:val="21"/>
        </w:rPr>
        <w:t>具体</w:t>
      </w:r>
      <w:r w:rsidRPr="0077252B">
        <w:rPr>
          <w:rFonts w:hint="eastAsia" w:ascii="宋体" w:hAnsi="宋体" w:eastAsia="宋体" w:cs="宋体"/>
          <w:bCs/>
          <w:iCs/>
          <w:color w:val="000000"/>
          <w:szCs w:val="21"/>
        </w:rPr>
        <w:t>应对措施使用情形及程序详见《产品说明书》。敬请投资者留意管理人运用上述流动性风险应对措施的相关风险</w:t>
      </w:r>
      <w:r>
        <w:rPr>
          <w:rFonts w:hint="eastAsia" w:ascii="宋体" w:hAnsi="宋体" w:eastAsia="宋体" w:cs="宋体"/>
          <w:bCs/>
          <w:iCs/>
          <w:color w:val="000000"/>
          <w:szCs w:val="21"/>
        </w:rPr>
        <w:t>。</w:t>
      </w:r>
    </w:p>
    <w:p w:rsidRPr="00C53564" w:rsidR="00164FA8" w:rsidP="00164FA8" w:rsidRDefault="00164FA8" w14:paraId="13A4519A" w14:textId="0AEFDBEC">
      <w:pPr>
        <w:spacing w:line="360" w:lineRule="auto"/>
        <w:ind w:firstLine="420" w:firstLineChars="200"/>
        <w:rPr>
          <w:rFonts w:ascii="宋体" w:hAnsi="宋体" w:eastAsia="宋体" w:cs="宋体"/>
          <w:bCs/>
          <w:iCs/>
          <w:color w:val="000000"/>
          <w:szCs w:val="21"/>
        </w:rPr>
      </w:pPr>
      <w:r>
        <w:rPr>
          <w:rFonts w:hint="eastAsia" w:ascii="宋体" w:hAnsi="宋体" w:eastAsia="宋体" w:cs="宋体"/>
          <w:bCs/>
          <w:iCs/>
          <w:color w:val="000000"/>
          <w:szCs w:val="21"/>
        </w:rPr>
        <w:lastRenderedPageBreak/>
        <w:t>（1）</w:t>
      </w:r>
      <w:r w:rsidRPr="00C53564">
        <w:rPr>
          <w:rFonts w:hint="eastAsia" w:ascii="宋体" w:hAnsi="宋体" w:eastAsia="宋体" w:cs="宋体"/>
          <w:bCs/>
          <w:iCs/>
          <w:color w:val="000000"/>
          <w:szCs w:val="21"/>
        </w:rPr>
        <w:t>暂停接受赎回申请或延缓支付赎回款项</w:t>
      </w:r>
    </w:p>
    <w:p w:rsidRPr="00C53564" w:rsidR="00164FA8" w:rsidP="00164FA8" w:rsidRDefault="00164FA8" w14:paraId="21DB2EE1" w14:textId="77777777">
      <w:pPr>
        <w:spacing w:line="360" w:lineRule="auto"/>
        <w:ind w:firstLine="420" w:firstLineChars="200"/>
        <w:rPr>
          <w:rFonts w:ascii="宋体" w:hAnsi="宋体" w:eastAsia="宋体" w:cs="宋体"/>
          <w:bCs/>
          <w:iCs/>
          <w:color w:val="000000"/>
          <w:szCs w:val="21"/>
        </w:rPr>
      </w:pPr>
      <w:r w:rsidRPr="00C53564">
        <w:rPr>
          <w:rFonts w:hint="eastAsia" w:ascii="宋体" w:hAnsi="宋体" w:eastAsia="宋体" w:cs="宋体"/>
          <w:bCs/>
          <w:iCs/>
          <w:color w:val="000000"/>
          <w:szCs w:val="21"/>
        </w:rPr>
        <w:t>若管理人采用延缓支付赎回款项的流动性风险应对措施，投资者面临在暂停赎回期间将无法赎回其持有的产品份额的风险，接收赎回款项的时间将可能比一般正常情形下有所延迟。</w:t>
      </w:r>
    </w:p>
    <w:p w:rsidRPr="00C53564" w:rsidR="00164FA8" w:rsidP="00164FA8" w:rsidRDefault="00164FA8" w14:paraId="70A22E79" w14:textId="40834F1A">
      <w:pPr>
        <w:spacing w:line="360" w:lineRule="auto"/>
        <w:ind w:firstLine="420" w:firstLineChars="200"/>
        <w:rPr>
          <w:rFonts w:ascii="宋体" w:hAnsi="宋体" w:eastAsia="宋体" w:cs="宋体"/>
          <w:bCs/>
          <w:iCs/>
          <w:color w:val="000000"/>
          <w:szCs w:val="21"/>
        </w:rPr>
      </w:pPr>
      <w:r>
        <w:rPr>
          <w:rFonts w:hint="eastAsia" w:ascii="宋体" w:hAnsi="宋体" w:eastAsia="宋体" w:cs="宋体"/>
          <w:bCs/>
          <w:iCs/>
          <w:color w:val="000000"/>
          <w:szCs w:val="21"/>
        </w:rPr>
        <w:t>（2）</w:t>
      </w:r>
      <w:r w:rsidRPr="00C53564">
        <w:rPr>
          <w:rFonts w:hint="eastAsia" w:ascii="宋体" w:hAnsi="宋体" w:eastAsia="宋体" w:cs="宋体"/>
          <w:bCs/>
          <w:iCs/>
          <w:color w:val="000000"/>
          <w:szCs w:val="21"/>
        </w:rPr>
        <w:t>暂停理财产品估值</w:t>
      </w:r>
    </w:p>
    <w:p w:rsidRPr="00C53564" w:rsidR="00164FA8" w:rsidP="00164FA8" w:rsidRDefault="00164FA8" w14:paraId="18DDD5C4" w14:textId="77777777">
      <w:pPr>
        <w:spacing w:line="360" w:lineRule="auto"/>
        <w:ind w:firstLine="420" w:firstLineChars="200"/>
        <w:rPr>
          <w:rFonts w:ascii="宋体" w:hAnsi="宋体" w:eastAsia="宋体" w:cs="宋体"/>
          <w:bCs/>
          <w:iCs/>
          <w:color w:val="000000"/>
          <w:szCs w:val="21"/>
        </w:rPr>
      </w:pPr>
      <w:r w:rsidRPr="00C53564">
        <w:rPr>
          <w:rFonts w:hint="eastAsia" w:ascii="宋体" w:hAnsi="宋体" w:eastAsia="宋体" w:cs="宋体"/>
          <w:bCs/>
          <w:iCs/>
          <w:color w:val="000000"/>
          <w:szCs w:val="21"/>
        </w:rPr>
        <w:t>若管理人采用理财产品估值的流动性风险应对措施，投资人没有可供参考的产品份额净值，同时赎回申请可能被暂停接受，或被延缓支付赎回款项。</w:t>
      </w:r>
    </w:p>
    <w:p w:rsidRPr="00131012" w:rsidR="00B15CD4" w:rsidP="00B15CD4" w:rsidRDefault="00B15CD4" w14:paraId="051BBA2C"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（六）管理风险：</w:t>
      </w:r>
      <w:r w:rsidRPr="00131012">
        <w:rPr>
          <w:rFonts w:hint="eastAsia" w:ascii="宋体" w:hAnsi="宋体" w:eastAsia="宋体" w:cs="宋体"/>
          <w:bCs/>
          <w:iCs/>
          <w:color w:val="000000"/>
          <w:szCs w:val="21"/>
        </w:rPr>
        <w:t>由于本产品管理人、理财投资合作</w:t>
      </w:r>
      <w:r w:rsidRPr="00131012">
        <w:rPr>
          <w:rFonts w:ascii="宋体" w:hAnsi="宋体" w:eastAsia="宋体" w:cs="宋体"/>
          <w:bCs/>
          <w:iCs/>
          <w:color w:val="000000"/>
          <w:szCs w:val="21"/>
        </w:rPr>
        <w:t>机构</w:t>
      </w:r>
      <w:r w:rsidRPr="00131012">
        <w:rPr>
          <w:rFonts w:hint="eastAsia" w:ascii="宋体" w:hAnsi="宋体" w:eastAsia="宋体" w:cs="宋体"/>
          <w:bCs/>
          <w:iCs/>
          <w:color w:val="000000"/>
          <w:szCs w:val="21"/>
        </w:rPr>
        <w:t>等，受经验、技能等因素的限制，会影响其对信息的获取和对经济形势、金融市场价格走势的判断，如管理人、理财投资合作</w:t>
      </w:r>
      <w:r w:rsidRPr="00131012">
        <w:rPr>
          <w:rFonts w:ascii="宋体" w:hAnsi="宋体" w:eastAsia="宋体" w:cs="宋体"/>
          <w:bCs/>
          <w:iCs/>
          <w:color w:val="000000"/>
          <w:szCs w:val="21"/>
        </w:rPr>
        <w:t>机构</w:t>
      </w:r>
      <w:r>
        <w:rPr>
          <w:rFonts w:hint="eastAsia" w:ascii="宋体" w:hAnsi="宋体" w:eastAsia="宋体" w:cs="宋体"/>
          <w:bCs/>
          <w:iCs/>
          <w:color w:val="000000"/>
          <w:szCs w:val="21"/>
        </w:rPr>
        <w:t>等</w:t>
      </w:r>
      <w:r w:rsidRPr="00131012">
        <w:rPr>
          <w:rFonts w:hint="eastAsia" w:ascii="宋体" w:hAnsi="宋体" w:eastAsia="宋体" w:cs="宋体"/>
          <w:bCs/>
          <w:iCs/>
          <w:color w:val="000000"/>
          <w:szCs w:val="21"/>
        </w:rPr>
        <w:t>判断有误、获取信息不全或对投资工具使用不当等，可能导致本理财产品的</w:t>
      </w:r>
      <w:r>
        <w:rPr>
          <w:rFonts w:hint="eastAsia" w:ascii="宋体" w:hAnsi="宋体" w:eastAsia="宋体" w:cs="宋体"/>
          <w:bCs/>
          <w:iCs/>
          <w:color w:val="000000"/>
          <w:szCs w:val="21"/>
        </w:rPr>
        <w:t>本金</w:t>
      </w:r>
      <w:r w:rsidRPr="00131012">
        <w:rPr>
          <w:rFonts w:hint="eastAsia" w:ascii="宋体" w:hAnsi="宋体" w:eastAsia="宋体" w:cs="宋体"/>
          <w:bCs/>
          <w:iCs/>
          <w:color w:val="000000"/>
          <w:szCs w:val="21"/>
        </w:rPr>
        <w:t>及收益遭受损失。</w:t>
      </w:r>
    </w:p>
    <w:p w:rsidRPr="00131012" w:rsidR="00B15CD4" w:rsidP="00B15CD4" w:rsidRDefault="00B15CD4" w14:paraId="13C1EE8C"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（七）操作风险：</w:t>
      </w:r>
      <w:r w:rsidRPr="00131012">
        <w:rPr>
          <w:rFonts w:hint="eastAsia" w:ascii="宋体" w:hAnsi="宋体" w:eastAsia="宋体" w:cs="宋体"/>
          <w:bCs/>
          <w:iCs/>
          <w:color w:val="000000"/>
          <w:szCs w:val="21"/>
        </w:rPr>
        <w:t>产品运作过程中，因管理人、托管人或销售机构的技术系统故障、内部控制存在缺陷或人为因素导致操作失误或违反操作规程引致的风险，例如，越权操作、违规操作、错误操作等。</w:t>
      </w:r>
    </w:p>
    <w:p w:rsidRPr="00131012" w:rsidR="00B15CD4" w:rsidP="00B15CD4" w:rsidRDefault="00B15CD4" w14:paraId="11E92C0E" w14:textId="64827AE2">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（八）代销风险：</w:t>
      </w:r>
      <w:r w:rsidRPr="00131012">
        <w:rPr>
          <w:rFonts w:hint="eastAsia" w:ascii="宋体" w:hAnsi="宋体" w:eastAsia="宋体" w:cs="宋体"/>
          <w:bCs/>
          <w:iCs/>
          <w:color w:val="000000"/>
          <w:szCs w:val="21"/>
        </w:rPr>
        <w:t>如本理财产品通过代理销售机构销售，而非通过管理人销售的，投资者购买理财产品的资金由代理销售机构从投资者指定账户扣收并划付管理人，赎回时</w:t>
      </w:r>
      <w:r>
        <w:rPr>
          <w:rFonts w:hint="eastAsia" w:ascii="宋体" w:hAnsi="宋体" w:eastAsia="宋体" w:cs="宋体"/>
          <w:bCs/>
          <w:iCs/>
          <w:color w:val="000000"/>
          <w:szCs w:val="21"/>
        </w:rPr>
        <w:t>投资者的投资本金</w:t>
      </w:r>
      <w:r w:rsidRPr="00131012">
        <w:rPr>
          <w:rFonts w:hint="eastAsia" w:ascii="宋体" w:hAnsi="宋体" w:eastAsia="宋体" w:cs="宋体"/>
          <w:bCs/>
          <w:iCs/>
          <w:color w:val="000000"/>
          <w:szCs w:val="21"/>
        </w:rPr>
        <w:t>及收益（如有）由管理人按理财产品销售文件约定划付至代理销售机构，并由代理销售机构向投资者支付。如因投资者指定账户余额不足，或代理销售机构未及时足额划付资金，或代理销售机构指定账户内资金被依法冻结或扣划，或代理销售机构指定账户处于被挂失、冻结、注销或其他非正常状态等原因而导致交易失败，则投资者面临相应风险。</w:t>
      </w:r>
    </w:p>
    <w:p w:rsidRPr="00131012" w:rsidR="00B15CD4" w:rsidP="00B15CD4" w:rsidRDefault="00B15CD4" w14:paraId="2E342D23" w14:textId="4ED77128">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w:t>
      </w:r>
      <w:r w:rsidR="004B560E">
        <w:rPr>
          <w:rFonts w:hint="eastAsia" w:ascii="宋体" w:hAnsi="宋体" w:eastAsia="宋体" w:cs="宋体"/>
          <w:b/>
          <w:bCs/>
          <w:iCs/>
          <w:color w:val="000000"/>
          <w:szCs w:val="21"/>
        </w:rPr>
        <w:t>九</w:t>
      </w:r>
      <w:r w:rsidRPr="00131012">
        <w:rPr>
          <w:rFonts w:hint="eastAsia" w:ascii="宋体" w:hAnsi="宋体" w:eastAsia="宋体" w:cs="宋体"/>
          <w:b/>
          <w:bCs/>
          <w:iCs/>
          <w:color w:val="000000"/>
          <w:szCs w:val="21"/>
        </w:rPr>
        <w:t>）提前终止风险：</w:t>
      </w:r>
      <w:r w:rsidRPr="00131012">
        <w:rPr>
          <w:rFonts w:hint="eastAsia" w:ascii="宋体" w:hAnsi="宋体" w:eastAsia="宋体" w:cs="宋体"/>
          <w:bCs/>
          <w:iCs/>
          <w:color w:val="000000"/>
          <w:szCs w:val="21"/>
        </w:rPr>
        <w:t>管理人有权</w:t>
      </w:r>
      <w:r w:rsidR="00D578C2">
        <w:rPr>
          <w:rFonts w:hint="eastAsia" w:ascii="宋体" w:hAnsi="宋体" w:eastAsia="宋体" w:cs="宋体"/>
          <w:bCs/>
          <w:iCs/>
          <w:color w:val="000000"/>
          <w:szCs w:val="21"/>
        </w:rPr>
        <w:t>提前</w:t>
      </w:r>
      <w:r w:rsidRPr="00131012">
        <w:rPr>
          <w:rFonts w:hint="eastAsia" w:ascii="宋体" w:hAnsi="宋体" w:eastAsia="宋体" w:cs="宋体"/>
          <w:bCs/>
          <w:iCs/>
          <w:color w:val="000000"/>
          <w:szCs w:val="21"/>
        </w:rPr>
        <w:t>终止本理财产品，如果理财产品提前到期，投资者可能面临再投资风险。</w:t>
      </w:r>
    </w:p>
    <w:p w:rsidRPr="00131012" w:rsidR="00B15CD4" w:rsidP="00B15CD4" w:rsidRDefault="00B15CD4" w14:paraId="22B4662B" w14:textId="1B57A068">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（十）信息传递风险：</w:t>
      </w:r>
      <w:r w:rsidRPr="00131012">
        <w:rPr>
          <w:rFonts w:hint="eastAsia" w:ascii="宋体" w:hAnsi="宋体" w:eastAsia="宋体" w:cs="宋体"/>
          <w:bCs/>
          <w:iCs/>
          <w:color w:val="000000"/>
          <w:szCs w:val="21"/>
        </w:rPr>
        <w:t>投资者需要通过指定的信息披露渠道了解产品相关信息公告。具体公告方式以理财产品</w:t>
      </w:r>
      <w:r w:rsidRPr="00131012">
        <w:rPr>
          <w:rFonts w:hint="eastAsia" w:ascii="宋体" w:hAnsi="宋体" w:eastAsia="宋体"/>
          <w:color w:val="000000"/>
          <w:szCs w:val="21"/>
        </w:rPr>
        <w:t>销售文件</w:t>
      </w:r>
      <w:r w:rsidRPr="00131012">
        <w:rPr>
          <w:rFonts w:hint="eastAsia" w:ascii="宋体" w:hAnsi="宋体" w:eastAsia="宋体" w:cs="宋体"/>
          <w:bCs/>
          <w:iCs/>
          <w:color w:val="000000"/>
          <w:szCs w:val="21"/>
        </w:rPr>
        <w:t>所载明的公告方式为准。投资者应根据理财产品</w:t>
      </w:r>
      <w:r w:rsidRPr="00131012">
        <w:rPr>
          <w:rFonts w:hint="eastAsia" w:ascii="宋体" w:hAnsi="宋体" w:eastAsia="宋体"/>
          <w:color w:val="000000"/>
          <w:szCs w:val="21"/>
        </w:rPr>
        <w:t>销售文件</w:t>
      </w:r>
      <w:r w:rsidRPr="00131012">
        <w:rPr>
          <w:rFonts w:hint="eastAsia" w:ascii="宋体" w:hAnsi="宋体" w:eastAsia="宋体" w:cs="宋体"/>
          <w:bCs/>
          <w:iCs/>
          <w:color w:val="000000"/>
          <w:szCs w:val="21"/>
        </w:rPr>
        <w:t>所载明的公告方式及时查询本理财产品的相关信息。如果投资者未及时查询或由于不可抗力及</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或意外事件的影响使得投资者无法及时了解理财产品信息，进而影响投资者的投资决策，由此产生的责任和风险由投资者自行承担。投资者预留在产品管理人或销售机构处的联系方式变更的，应及时通知产品管理人或销售机构。如投资者未及时告知产品管理人或销售机构联系方式变更或因其他原因导致产品管理人或销售机构在需要联系投资者时无法及时</w:t>
      </w:r>
      <w:r w:rsidRPr="00131012">
        <w:rPr>
          <w:rFonts w:hint="eastAsia" w:ascii="宋体" w:hAnsi="宋体" w:eastAsia="宋体" w:cs="宋体"/>
          <w:bCs/>
          <w:iCs/>
          <w:color w:val="000000"/>
          <w:szCs w:val="21"/>
        </w:rPr>
        <w:lastRenderedPageBreak/>
        <w:t>联系上，可能会由此影响投资者的投资决策，因此产生的责任和风险由投资者自行承担。</w:t>
      </w:r>
    </w:p>
    <w:p w:rsidRPr="00131012" w:rsidR="00B15CD4" w:rsidP="00B15CD4" w:rsidRDefault="00B15CD4" w14:paraId="7DC039E9" w14:textId="0BB185A9">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一</w:t>
      </w:r>
      <w:r w:rsidRPr="00131012">
        <w:rPr>
          <w:rFonts w:hint="eastAsia" w:ascii="宋体" w:hAnsi="宋体" w:eastAsia="宋体" w:cs="宋体"/>
          <w:b/>
          <w:bCs/>
          <w:iCs/>
          <w:color w:val="000000"/>
          <w:szCs w:val="21"/>
        </w:rPr>
        <w:t>）不可抗力及意外事件风险：</w:t>
      </w:r>
      <w:r w:rsidRPr="00131012">
        <w:rPr>
          <w:rFonts w:hint="eastAsia" w:ascii="宋体" w:hAnsi="宋体" w:eastAsia="宋体" w:cs="宋体"/>
          <w:bCs/>
          <w:iCs/>
          <w:color w:val="000000"/>
          <w:szCs w:val="21"/>
        </w:rPr>
        <w:t>由于不可抗力及</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或国家政策变化、</w:t>
      </w:r>
      <w:r w:rsidRPr="00131012">
        <w:rPr>
          <w:rFonts w:ascii="宋体" w:hAnsi="宋体" w:eastAsia="宋体" w:cs="宋体"/>
          <w:bCs/>
          <w:iCs/>
          <w:color w:val="000000"/>
          <w:szCs w:val="21"/>
        </w:rPr>
        <w:t>IT</w:t>
      </w:r>
      <w:r w:rsidRPr="00131012">
        <w:rPr>
          <w:rFonts w:hint="eastAsia" w:ascii="宋体" w:hAnsi="宋体" w:eastAsia="宋体" w:cs="宋体"/>
          <w:bCs/>
          <w:iCs/>
          <w:color w:val="000000"/>
          <w:szCs w:val="21"/>
        </w:rPr>
        <w:t>系统故障、通讯系统故障、电力系统故障、金融危机、投资市场停止交易等非产品管理人所能控制的原因，可能对理财产品的产品成立、投资运作、资金划付、信息披露、公告通知造成影响，投资者的</w:t>
      </w:r>
      <w:r>
        <w:rPr>
          <w:rFonts w:hint="eastAsia" w:ascii="宋体" w:hAnsi="宋体" w:eastAsia="宋体" w:cs="宋体"/>
          <w:bCs/>
          <w:iCs/>
          <w:color w:val="000000"/>
          <w:szCs w:val="21"/>
        </w:rPr>
        <w:t>投资本金</w:t>
      </w:r>
      <w:r w:rsidRPr="00131012">
        <w:rPr>
          <w:rFonts w:hint="eastAsia" w:ascii="宋体" w:hAnsi="宋体" w:eastAsia="宋体" w:cs="宋体"/>
          <w:bCs/>
          <w:iCs/>
          <w:color w:val="000000"/>
          <w:szCs w:val="21"/>
        </w:rPr>
        <w:t>和收益可能遭受部分或全部的损失。对于由不可抗力及意外事件导致的损失，投资者须自行承担，产品管理人对此不承担责任。</w:t>
      </w:r>
    </w:p>
    <w:p w:rsidRPr="00131012" w:rsidR="00703B26" w:rsidP="00703B26" w:rsidRDefault="00B15CD4" w14:paraId="0B7822F7" w14:textId="2E9958C5">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因不可抗力及</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或意外事件导致产品管理人无法继续履行理财产品</w:t>
      </w:r>
      <w:r w:rsidRPr="00131012">
        <w:rPr>
          <w:rFonts w:hint="eastAsia" w:ascii="宋体" w:hAnsi="宋体" w:eastAsia="宋体"/>
          <w:color w:val="000000"/>
          <w:szCs w:val="21"/>
        </w:rPr>
        <w:t>销售文件</w:t>
      </w:r>
      <w:r w:rsidRPr="00131012">
        <w:rPr>
          <w:rFonts w:hint="eastAsia" w:ascii="宋体" w:hAnsi="宋体" w:eastAsia="宋体" w:cs="宋体"/>
          <w:bCs/>
          <w:iCs/>
          <w:color w:val="000000"/>
          <w:szCs w:val="21"/>
        </w:rPr>
        <w:t>的，产品管理人有权提前解除理财产品</w:t>
      </w:r>
      <w:r w:rsidRPr="00131012">
        <w:rPr>
          <w:rFonts w:hint="eastAsia" w:ascii="宋体" w:hAnsi="宋体" w:eastAsia="宋体"/>
          <w:color w:val="000000"/>
          <w:szCs w:val="21"/>
        </w:rPr>
        <w:t>销售文件</w:t>
      </w:r>
      <w:r w:rsidRPr="00131012">
        <w:rPr>
          <w:rFonts w:hint="eastAsia" w:ascii="宋体" w:hAnsi="宋体" w:eastAsia="宋体" w:cs="宋体"/>
          <w:bCs/>
          <w:iCs/>
          <w:color w:val="000000"/>
          <w:szCs w:val="21"/>
        </w:rPr>
        <w:t>，并将发生不可抗力及</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或意外事件后剩余的投资者可得理财产品利益划付至投资者指定账户。</w:t>
      </w:r>
    </w:p>
    <w:p w:rsidRPr="00131012" w:rsidR="00703B26" w:rsidP="00703B26" w:rsidRDefault="00703B26" w14:paraId="1AE21089" w14:textId="346149A3">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二</w:t>
      </w:r>
      <w:r w:rsidRPr="00131012">
        <w:rPr>
          <w:rFonts w:hint="eastAsia" w:ascii="宋体" w:hAnsi="宋体" w:eastAsia="宋体" w:cs="宋体"/>
          <w:b/>
          <w:bCs/>
          <w:iCs/>
          <w:color w:val="000000"/>
          <w:szCs w:val="21"/>
        </w:rPr>
        <w:t>）税务风险：</w:t>
      </w:r>
      <w:r w:rsidRPr="00131012">
        <w:rPr>
          <w:rFonts w:hint="eastAsia" w:ascii="宋体" w:hAnsi="宋体" w:eastAsia="宋体" w:cs="宋体"/>
          <w:bCs/>
          <w:iCs/>
          <w:color w:val="000000"/>
          <w:szCs w:val="21"/>
        </w:rPr>
        <w:t>根据法律法规、监管规定，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rsidRPr="00131012" w:rsidR="00703B26" w:rsidP="00703B26" w:rsidRDefault="00703B26" w14:paraId="6DA11116" w14:textId="1352B042">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三</w:t>
      </w:r>
      <w:r w:rsidRPr="00131012">
        <w:rPr>
          <w:rFonts w:hint="eastAsia" w:ascii="宋体" w:hAnsi="宋体" w:eastAsia="宋体" w:cs="宋体"/>
          <w:b/>
          <w:bCs/>
          <w:iCs/>
          <w:color w:val="000000"/>
          <w:szCs w:val="21"/>
        </w:rPr>
        <w:t>）理财产品不成立风险：</w:t>
      </w:r>
      <w:r w:rsidRPr="00131012">
        <w:rPr>
          <w:rFonts w:hint="eastAsia" w:ascii="宋体" w:hAnsi="宋体" w:eastAsia="宋体" w:cs="宋体"/>
          <w:bCs/>
          <w:iCs/>
          <w:color w:val="000000"/>
          <w:szCs w:val="21"/>
        </w:rPr>
        <w:t>如本产品认购期结束后产品募集资金总额未达到产品规模下限，或市场发生剧烈波动、不可抗力及意外事件、或因法律法规、监管规定等原因，经产品管理人谨慎合理判断难以按照理财产品合同有关规定向投资者提供本产品，产品管理人有权宣布本产品不成立，投资者将承担本产品不成立的风险。</w:t>
      </w:r>
    </w:p>
    <w:p w:rsidR="00703B26" w:rsidP="00703B26" w:rsidRDefault="00703B26" w14:paraId="57197778" w14:textId="664096BC">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四</w:t>
      </w:r>
      <w:r w:rsidRPr="00131012">
        <w:rPr>
          <w:rFonts w:hint="eastAsia" w:ascii="宋体" w:hAnsi="宋体" w:eastAsia="宋体" w:cs="宋体"/>
          <w:b/>
          <w:bCs/>
          <w:iCs/>
          <w:color w:val="000000"/>
          <w:szCs w:val="21"/>
        </w:rPr>
        <w:t>）估值风险：</w:t>
      </w:r>
      <w:r w:rsidRPr="00131012">
        <w:rPr>
          <w:rFonts w:hint="eastAsia" w:ascii="宋体" w:hAnsi="宋体" w:eastAsia="宋体" w:cs="宋体"/>
          <w:bCs/>
          <w:iCs/>
          <w:color w:val="000000"/>
          <w:szCs w:val="21"/>
        </w:rPr>
        <w:t>本理财产品按《产品说明书》的估值方法进行估值，理财产品估值与实际变现价值可能发生偏离，并且投资标的的估值方法及净值披露的准确性和及时性，亦可能对本理财产品的估值产生影响，投资者应知晓该风险。管理人估值仅作为参考，管理人不承担第三方再次使用该估值引发的其他风险。</w:t>
      </w:r>
    </w:p>
    <w:p w:rsidRPr="007D269A" w:rsidR="007D269A" w:rsidRDefault="007D269A" w14:paraId="18F0571E" w14:textId="3A1CDF74">
      <w:pPr>
        <w:spacing w:line="360" w:lineRule="auto"/>
        <w:ind w:firstLine="420" w:firstLineChars="200"/>
        <w:rPr>
          <w:rFonts w:ascii="宋体" w:hAnsi="宋体" w:eastAsia="宋体" w:cs="宋体"/>
          <w:bCs/>
          <w:iCs/>
          <w:color w:val="000000"/>
          <w:szCs w:val="21"/>
        </w:rPr>
      </w:pPr>
      <w:r w:rsidRPr="007D269A">
        <w:rPr>
          <w:rFonts w:hint="eastAsia" w:ascii="宋体" w:hAnsi="宋体" w:eastAsia="宋体" w:cs="宋体"/>
          <w:bCs/>
          <w:iCs/>
          <w:color w:val="000000"/>
          <w:szCs w:val="21"/>
        </w:rPr>
        <w:t>本产品采用摊余成本法对</w:t>
      </w:r>
      <w:r w:rsidR="0031439F">
        <w:rPr>
          <w:rFonts w:hint="eastAsia" w:ascii="宋体" w:hAnsi="宋体" w:eastAsia="宋体" w:cs="宋体"/>
          <w:bCs/>
          <w:iCs/>
          <w:color w:val="000000"/>
          <w:szCs w:val="21"/>
        </w:rPr>
        <w:t>投资标的</w:t>
      </w:r>
      <w:r w:rsidRPr="007D269A">
        <w:rPr>
          <w:rFonts w:hint="eastAsia" w:ascii="宋体" w:hAnsi="宋体" w:eastAsia="宋体" w:cs="宋体"/>
          <w:bCs/>
          <w:iCs/>
          <w:color w:val="000000"/>
          <w:szCs w:val="21"/>
        </w:rPr>
        <w:t>进行会计核算的风险</w:t>
      </w:r>
      <w:r w:rsidR="0031439F">
        <w:rPr>
          <w:rFonts w:hint="eastAsia" w:ascii="宋体" w:hAnsi="宋体" w:eastAsia="宋体" w:cs="宋体"/>
          <w:bCs/>
          <w:iCs/>
          <w:color w:val="000000"/>
          <w:szCs w:val="21"/>
        </w:rPr>
        <w:t>。</w:t>
      </w:r>
      <w:r w:rsidRPr="007D269A">
        <w:rPr>
          <w:rFonts w:hint="eastAsia" w:ascii="宋体" w:hAnsi="宋体" w:eastAsia="宋体" w:cs="宋体"/>
          <w:bCs/>
          <w:iCs/>
          <w:color w:val="000000"/>
          <w:szCs w:val="21"/>
        </w:rPr>
        <w:t>由于按摊余成本法计价可能会出现被计价对象的其他可参考公允价值指标和摊余成本之间的偏离，为减少因理财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资产净值的背离导致理财产品投资者权益的稀释</w:t>
      </w:r>
      <w:r>
        <w:rPr>
          <w:rFonts w:hint="eastAsia" w:ascii="宋体" w:hAnsi="宋体" w:eastAsia="宋体" w:cs="宋体"/>
          <w:bCs/>
          <w:iCs/>
          <w:color w:val="000000"/>
          <w:szCs w:val="21"/>
        </w:rPr>
        <w:t>或其他不公平的结果，产品管理人与产品</w:t>
      </w:r>
      <w:r w:rsidRPr="007D269A">
        <w:rPr>
          <w:rFonts w:hint="eastAsia" w:ascii="宋体" w:hAnsi="宋体" w:eastAsia="宋体" w:cs="宋体"/>
          <w:bCs/>
          <w:iCs/>
          <w:color w:val="000000"/>
          <w:szCs w:val="21"/>
        </w:rPr>
        <w:t>托管人将采用估值技术，对理财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持有的估值对象进行重新评估，即“影子定价”。当</w:t>
      </w:r>
      <w:r w:rsidR="0031439F">
        <w:rPr>
          <w:rFonts w:hint="eastAsia" w:ascii="宋体" w:hAnsi="宋体" w:eastAsia="宋体" w:cs="宋体"/>
          <w:bCs/>
          <w:iCs/>
          <w:color w:val="000000"/>
          <w:szCs w:val="21"/>
        </w:rPr>
        <w:t>投资标的</w:t>
      </w:r>
      <w:r w:rsidRPr="007D269A">
        <w:rPr>
          <w:rFonts w:hint="eastAsia" w:ascii="宋体" w:hAnsi="宋体" w:eastAsia="宋体" w:cs="宋体"/>
          <w:bCs/>
          <w:iCs/>
          <w:color w:val="000000"/>
          <w:szCs w:val="21"/>
        </w:rPr>
        <w:t>的摊余成本与其他可参考公允价值指标产生重大偏离，管理人将按照其它可参考公允价值指标对组合的账面价值进行调整，使理财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资产净值更能公允地反映理财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资产价值，</w:t>
      </w:r>
      <w:r w:rsidR="0031439F">
        <w:rPr>
          <w:rFonts w:hint="eastAsia" w:ascii="宋体" w:hAnsi="宋体" w:eastAsia="宋体" w:cs="宋体"/>
          <w:bCs/>
          <w:iCs/>
          <w:color w:val="000000"/>
          <w:szCs w:val="21"/>
        </w:rPr>
        <w:t>使得</w:t>
      </w:r>
      <w:r w:rsidRPr="007D269A">
        <w:rPr>
          <w:rFonts w:hint="eastAsia" w:ascii="宋体" w:hAnsi="宋体" w:eastAsia="宋体" w:cs="宋体"/>
          <w:bCs/>
          <w:iCs/>
          <w:color w:val="000000"/>
          <w:szCs w:val="21"/>
        </w:rPr>
        <w:t>以摊余成本法计算的理财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资产净值不会对理财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投资者造成实质性的损害。本理财</w:t>
      </w:r>
      <w:r>
        <w:rPr>
          <w:rFonts w:hint="eastAsia" w:ascii="宋体" w:hAnsi="宋体" w:eastAsia="宋体" w:cs="宋体"/>
          <w:bCs/>
          <w:iCs/>
          <w:color w:val="000000"/>
          <w:szCs w:val="21"/>
        </w:rPr>
        <w:t>产品</w:t>
      </w:r>
      <w:r w:rsidRPr="007D269A">
        <w:rPr>
          <w:rFonts w:hint="eastAsia" w:ascii="宋体" w:hAnsi="宋体" w:eastAsia="宋体" w:cs="宋体"/>
          <w:bCs/>
          <w:iCs/>
          <w:color w:val="000000"/>
          <w:szCs w:val="21"/>
        </w:rPr>
        <w:t>因此面临净值波动的风险。</w:t>
      </w:r>
    </w:p>
    <w:p w:rsidRPr="00131012" w:rsidR="00703B26" w:rsidP="00703B26" w:rsidRDefault="00703B26" w14:paraId="070927D0" w14:textId="41021A1A">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lastRenderedPageBreak/>
        <w:t>（十</w:t>
      </w:r>
      <w:r w:rsidR="004B560E">
        <w:rPr>
          <w:rFonts w:hint="eastAsia" w:ascii="宋体" w:hAnsi="宋体" w:eastAsia="宋体" w:cs="宋体"/>
          <w:b/>
          <w:bCs/>
          <w:iCs/>
          <w:color w:val="000000"/>
          <w:szCs w:val="21"/>
        </w:rPr>
        <w:t>五</w:t>
      </w:r>
      <w:r w:rsidRPr="00131012">
        <w:rPr>
          <w:rFonts w:hint="eastAsia" w:ascii="宋体" w:hAnsi="宋体" w:eastAsia="宋体" w:cs="宋体"/>
          <w:b/>
          <w:bCs/>
          <w:iCs/>
          <w:color w:val="000000"/>
          <w:szCs w:val="21"/>
        </w:rPr>
        <w:t>）单方修改《产品说明书》的风险：</w:t>
      </w:r>
      <w:r w:rsidRPr="00131012">
        <w:rPr>
          <w:rFonts w:hint="eastAsia" w:ascii="宋体" w:hAnsi="宋体" w:eastAsia="宋体" w:cs="宋体"/>
          <w:bCs/>
          <w:iCs/>
          <w:color w:val="000000"/>
          <w:szCs w:val="21"/>
        </w:rPr>
        <w:t>如出于维持产品正常投资运作的需要且在不实质损害投资者利益的前提下，或因法律法规、监管规定发生变化，管理人有权单方对《产品说明书》进行修订。管理人决定对《产品说明书》进行修订的，将提前通知投资者。其中，对于投资者利益产生实质影响的事项（如对投资范围、投资品种、投资比例进行调整，增加费用名目、提高收费标准等，但因法律法规、监管规定等发生变化导致的除外），投资者如不同意补充或修改后的说明书，可在管理人公告的补充或修改后的相关业务调整生效前赎回本理财产品，未赎回的视为同意。</w:t>
      </w:r>
    </w:p>
    <w:p w:rsidRPr="00131012" w:rsidR="00703B26" w:rsidP="00703B26" w:rsidRDefault="00703B26" w14:paraId="05491BA6" w14:textId="732DBFD0">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六</w:t>
      </w:r>
      <w:r w:rsidRPr="00131012">
        <w:rPr>
          <w:rFonts w:hint="eastAsia" w:ascii="宋体" w:hAnsi="宋体" w:eastAsia="宋体" w:cs="宋体"/>
          <w:b/>
          <w:bCs/>
          <w:iCs/>
          <w:color w:val="000000"/>
          <w:szCs w:val="21"/>
        </w:rPr>
        <w:t>）关联交易风险：</w:t>
      </w:r>
      <w:r w:rsidRPr="00131012">
        <w:rPr>
          <w:rFonts w:hint="eastAsia" w:ascii="宋体" w:hAnsi="宋体" w:eastAsia="宋体" w:cs="宋体"/>
          <w:bCs/>
          <w:iCs/>
          <w:color w:val="000000"/>
          <w:szCs w:val="21"/>
        </w:rPr>
        <w:t>本理财产品可能投资于</w:t>
      </w:r>
      <w:r w:rsidRPr="009C7547" w:rsidR="009C7547">
        <w:rPr>
          <w:rFonts w:hint="eastAsia" w:ascii="宋体" w:hAnsi="宋体" w:eastAsia="宋体" w:cs="宋体"/>
          <w:bCs/>
          <w:iCs/>
          <w:color w:val="000000"/>
          <w:szCs w:val="21"/>
        </w:rPr>
        <w:t>管理人或托管人的主要股东、实际控制人、一致行动人、最终受益人，托管人，同一股东或托管人控股的机构，或者与管理人或托管人有重大利害关系的机构，以及监管机构关于关联交易管理相关规定中涉及的其他关联方发行或承销的证券、发行的资产管理产品，或者从事其他关联交易</w:t>
      </w:r>
      <w:r w:rsidRPr="00131012">
        <w:rPr>
          <w:rFonts w:hint="eastAsia" w:ascii="宋体" w:hAnsi="宋体" w:eastAsia="宋体" w:cs="宋体"/>
          <w:bCs/>
          <w:iCs/>
          <w:color w:val="000000"/>
          <w:szCs w:val="21"/>
        </w:rPr>
        <w:t>。上述各方在业务执行及实施上具有隔离机制，并符合相关法律法规要求，且上述各方将依照恪尽职守、诚实信用、谨慎勤勉的原则按照市场公允定价进行公平交易，但仍可能存在利益冲突。提请投资者知悉、充分关注，投资者签署本理财产品销售文件即代表投资者认可同意上述可能发生的关联交易并自愿承担相关风险。</w:t>
      </w:r>
    </w:p>
    <w:p w:rsidR="00703B26" w:rsidP="00703B26" w:rsidRDefault="00703B26" w14:paraId="60B674E9" w14:textId="3D2480C1">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七</w:t>
      </w:r>
      <w:r w:rsidRPr="00131012">
        <w:rPr>
          <w:rFonts w:hint="eastAsia" w:ascii="宋体" w:hAnsi="宋体" w:eastAsia="宋体" w:cs="宋体"/>
          <w:b/>
          <w:bCs/>
          <w:iCs/>
          <w:color w:val="000000"/>
          <w:szCs w:val="21"/>
        </w:rPr>
        <w:t>）建仓期的风险：</w:t>
      </w:r>
      <w:r w:rsidRPr="00131012">
        <w:rPr>
          <w:rFonts w:hint="eastAsia" w:ascii="宋体" w:hAnsi="宋体" w:eastAsia="宋体" w:cs="宋体"/>
          <w:bCs/>
          <w:iCs/>
          <w:color w:val="000000"/>
          <w:szCs w:val="21"/>
        </w:rPr>
        <w:t>本理财产品设置建仓期。在建仓期内，本理财产品的投资比例可能无法满足本理财产品约定的投资比例限制，从而可能对本理财产品的投资收益产生相应影响。</w:t>
      </w:r>
    </w:p>
    <w:p w:rsidRPr="008852D3" w:rsidR="00587F5C" w:rsidP="00703B26" w:rsidRDefault="00587F5C" w14:paraId="4558462F" w14:textId="3C6C3F0F">
      <w:pPr>
        <w:spacing w:line="360" w:lineRule="auto"/>
        <w:ind w:firstLine="422" w:firstLineChars="200"/>
        <w:rPr>
          <w:rFonts w:ascii="宋体" w:hAnsi="宋体" w:eastAsia="宋体" w:cs="宋体"/>
          <w:b/>
          <w:bCs/>
          <w:iCs/>
          <w:color w:val="000000"/>
          <w:szCs w:val="21"/>
        </w:rPr>
      </w:pPr>
      <w:r w:rsidRPr="00100F36">
        <w:rPr>
          <w:rFonts w:hint="eastAsia" w:ascii="宋体" w:hAnsi="宋体" w:eastAsia="宋体" w:cs="宋体"/>
          <w:b/>
          <w:bCs/>
          <w:iCs/>
          <w:color w:val="000000"/>
          <w:szCs w:val="21"/>
        </w:rPr>
        <w:t>（十</w:t>
      </w:r>
      <w:r w:rsidR="004B560E">
        <w:rPr>
          <w:rFonts w:hint="eastAsia" w:ascii="宋体" w:hAnsi="宋体" w:eastAsia="宋体" w:cs="宋体"/>
          <w:b/>
          <w:bCs/>
          <w:iCs/>
          <w:color w:val="000000"/>
          <w:szCs w:val="21"/>
        </w:rPr>
        <w:t>八</w:t>
      </w:r>
      <w:r w:rsidRPr="00100F36">
        <w:rPr>
          <w:rFonts w:hint="eastAsia" w:ascii="宋体" w:hAnsi="宋体" w:eastAsia="宋体" w:cs="宋体"/>
          <w:b/>
          <w:bCs/>
          <w:iCs/>
          <w:color w:val="000000"/>
          <w:szCs w:val="21"/>
        </w:rPr>
        <w:t>）</w:t>
      </w:r>
      <w:r w:rsidRPr="008852D3">
        <w:rPr>
          <w:rFonts w:hint="eastAsia" w:ascii="宋体" w:hAnsi="宋体" w:eastAsia="宋体" w:cs="宋体"/>
          <w:b/>
          <w:bCs/>
          <w:iCs/>
          <w:color w:val="000000"/>
          <w:szCs w:val="21"/>
        </w:rPr>
        <w:t>★</w:t>
      </w:r>
      <w:r w:rsidRPr="008852D3" w:rsidR="00C26595">
        <w:rPr>
          <w:rFonts w:hint="eastAsia" w:ascii="宋体" w:hAnsi="宋体" w:eastAsia="宋体" w:cs="宋体"/>
          <w:b/>
          <w:bCs/>
          <w:iCs/>
          <w:color w:val="000000"/>
          <w:szCs w:val="21"/>
        </w:rPr>
        <w:t>不同类型</w:t>
      </w:r>
      <w:r w:rsidRPr="008852D3">
        <w:rPr>
          <w:rFonts w:hint="eastAsia" w:ascii="宋体" w:hAnsi="宋体" w:eastAsia="宋体" w:cs="宋体"/>
          <w:b/>
          <w:bCs/>
          <w:iCs/>
          <w:color w:val="000000"/>
          <w:szCs w:val="21"/>
        </w:rPr>
        <w:t>理财产品份额存在差异的风险：理财产品管理人可根据投资者购买理财产品的金额、销售渠道等因素，对投资者所持有的理财产品设置不同理财产品份额类型。不同类型的理财产品份额</w:t>
      </w:r>
      <w:r w:rsidR="00C26595">
        <w:rPr>
          <w:rFonts w:hint="eastAsia" w:ascii="宋体" w:hAnsi="宋体" w:eastAsia="宋体" w:cs="宋体"/>
          <w:b/>
          <w:bCs/>
          <w:iCs/>
          <w:color w:val="000000"/>
          <w:szCs w:val="21"/>
        </w:rPr>
        <w:t>可能</w:t>
      </w:r>
      <w:r w:rsidRPr="008852D3">
        <w:rPr>
          <w:rFonts w:hint="eastAsia" w:ascii="宋体" w:hAnsi="宋体" w:eastAsia="宋体" w:cs="宋体"/>
          <w:b/>
          <w:bCs/>
          <w:iCs/>
          <w:color w:val="000000"/>
          <w:szCs w:val="21"/>
        </w:rPr>
        <w:t>在销售名称、销售服务费、销售代码、销售对象、认购起点金额、产品份额净值</w:t>
      </w:r>
      <w:r w:rsidRPr="002657E5" w:rsidR="009771DE">
        <w:rPr>
          <w:rFonts w:hint="eastAsia" w:ascii="宋体" w:hAnsi="宋体" w:eastAsia="宋体" w:cs="宋体"/>
          <w:b/>
          <w:bCs/>
          <w:iCs/>
          <w:color w:val="000000"/>
          <w:szCs w:val="21"/>
        </w:rPr>
        <w:t>等</w:t>
      </w:r>
      <w:r w:rsidRPr="008852D3">
        <w:rPr>
          <w:rFonts w:hint="eastAsia" w:ascii="宋体" w:hAnsi="宋体" w:eastAsia="宋体" w:cs="宋体"/>
          <w:b/>
          <w:bCs/>
          <w:iCs/>
          <w:color w:val="000000"/>
          <w:szCs w:val="21"/>
        </w:rPr>
        <w:t>方面存在差异。</w:t>
      </w:r>
    </w:p>
    <w:p w:rsidRPr="00131012" w:rsidR="00703B26" w:rsidP="00703B26" w:rsidRDefault="00703B26" w14:paraId="52B00508" w14:textId="1FBBFF36">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w:t>
      </w:r>
      <w:r w:rsidR="004B560E">
        <w:rPr>
          <w:rFonts w:hint="eastAsia" w:ascii="宋体" w:hAnsi="宋体" w:eastAsia="宋体" w:cs="宋体"/>
          <w:b/>
          <w:bCs/>
          <w:iCs/>
          <w:color w:val="000000"/>
          <w:szCs w:val="21"/>
        </w:rPr>
        <w:t>十九</w:t>
      </w:r>
      <w:r w:rsidRPr="00131012">
        <w:rPr>
          <w:rFonts w:hint="eastAsia" w:ascii="宋体" w:hAnsi="宋体" w:eastAsia="宋体" w:cs="宋体"/>
          <w:b/>
          <w:bCs/>
          <w:iCs/>
          <w:color w:val="000000"/>
          <w:szCs w:val="21"/>
        </w:rPr>
        <w:t>）特定投资标的风险</w:t>
      </w:r>
    </w:p>
    <w:p w:rsidRPr="00131012" w:rsidR="00703B26" w:rsidP="00703B26" w:rsidRDefault="00703B26" w14:paraId="45BDDD72" w14:textId="77777777">
      <w:pPr>
        <w:spacing w:line="360" w:lineRule="auto"/>
        <w:ind w:firstLine="422" w:firstLineChars="200"/>
        <w:rPr>
          <w:rFonts w:ascii="宋体" w:hAnsi="宋体" w:eastAsia="宋体" w:cs="宋体"/>
          <w:b/>
          <w:bCs/>
          <w:iCs/>
          <w:color w:val="000000"/>
          <w:szCs w:val="21"/>
        </w:rPr>
      </w:pPr>
      <w:r w:rsidRPr="00131012">
        <w:rPr>
          <w:rFonts w:ascii="宋体" w:hAnsi="宋体" w:eastAsia="宋体" w:cs="宋体"/>
          <w:b/>
          <w:bCs/>
          <w:iCs/>
          <w:color w:val="000000"/>
          <w:szCs w:val="21"/>
        </w:rPr>
        <w:t>1.</w:t>
      </w:r>
      <w:r w:rsidRPr="00131012">
        <w:rPr>
          <w:rFonts w:hint="eastAsia" w:ascii="宋体" w:hAnsi="宋体" w:eastAsia="宋体" w:cs="宋体"/>
          <w:b/>
          <w:bCs/>
          <w:iCs/>
          <w:color w:val="000000"/>
          <w:szCs w:val="21"/>
        </w:rPr>
        <w:t>投资于债券的特殊风险</w:t>
      </w:r>
    </w:p>
    <w:p w:rsidRPr="00131012" w:rsidR="00703B26" w:rsidP="00703B26" w:rsidRDefault="00703B26" w14:paraId="1FE53A94"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如本产品投资于债券的，则本产品可能面临如下风险：</w:t>
      </w:r>
    </w:p>
    <w:p w:rsidRPr="00131012" w:rsidR="00703B26" w:rsidP="00703B26" w:rsidRDefault="00703B26" w14:paraId="38050347"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1）</w:t>
      </w:r>
      <w:r w:rsidRPr="00131012">
        <w:rPr>
          <w:rFonts w:hint="eastAsia" w:ascii="宋体" w:hAnsi="宋体" w:eastAsia="宋体" w:cs="宋体"/>
          <w:bCs/>
          <w:iCs/>
          <w:color w:val="000000"/>
          <w:szCs w:val="21"/>
        </w:rPr>
        <w:t>市场平均利率水平变化导致债券价格变化的风险。</w:t>
      </w:r>
    </w:p>
    <w:p w:rsidRPr="00131012" w:rsidR="00703B26" w:rsidP="00703B26" w:rsidRDefault="00703B26" w14:paraId="335B8785"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2）</w:t>
      </w:r>
      <w:r w:rsidRPr="00131012">
        <w:rPr>
          <w:rFonts w:hint="eastAsia" w:ascii="宋体" w:hAnsi="宋体" w:eastAsia="宋体" w:cs="宋体"/>
          <w:bCs/>
          <w:iCs/>
          <w:color w:val="000000"/>
          <w:szCs w:val="21"/>
        </w:rPr>
        <w:t>债券市场不同期限、不同类属债券之间的利差变动导致相应期限和类属债券价格变化的风险。</w:t>
      </w:r>
    </w:p>
    <w:p w:rsidRPr="00131012" w:rsidR="00703B26" w:rsidP="00703B26" w:rsidRDefault="00703B26" w14:paraId="596AD327"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3）</w:t>
      </w:r>
      <w:r w:rsidRPr="00131012">
        <w:rPr>
          <w:rFonts w:hint="eastAsia" w:ascii="宋体" w:hAnsi="宋体" w:eastAsia="宋体" w:cs="宋体"/>
          <w:bCs/>
          <w:iCs/>
          <w:color w:val="000000"/>
          <w:szCs w:val="21"/>
        </w:rPr>
        <w:t>债券的发行人的经营状况受到多种因素影响，如管理能力、财务状况、市场前景、</w:t>
      </w:r>
      <w:r w:rsidRPr="00131012">
        <w:rPr>
          <w:rFonts w:hint="eastAsia" w:ascii="宋体" w:hAnsi="宋体" w:eastAsia="宋体" w:cs="宋体"/>
          <w:bCs/>
          <w:iCs/>
          <w:color w:val="000000"/>
          <w:szCs w:val="21"/>
        </w:rPr>
        <w:lastRenderedPageBreak/>
        <w:t>行业竞争能力、技术更新、研究开发、人员素质等，都会导致发行人盈利发生变化，可能导致债券市场价格下跌或无法按时偿付本息，从而影响理财产品收益水平。</w:t>
      </w:r>
    </w:p>
    <w:p w:rsidRPr="00131012" w:rsidR="00703B26" w:rsidP="00703B26" w:rsidRDefault="00703B26" w14:paraId="72337733"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4）</w:t>
      </w:r>
      <w:r w:rsidRPr="00131012">
        <w:rPr>
          <w:rFonts w:hint="eastAsia" w:ascii="宋体" w:hAnsi="宋体" w:eastAsia="宋体" w:cs="宋体"/>
          <w:bCs/>
          <w:iCs/>
          <w:color w:val="000000"/>
          <w:szCs w:val="21"/>
        </w:rPr>
        <w:t>债券发行人、担保人出现违约、拒绝支付到期本息，或由于债券发行人、担保人信用质量降低导致债券价格下降及无法收回投资收益的风险。</w:t>
      </w:r>
    </w:p>
    <w:p w:rsidRPr="00131012" w:rsidR="00703B26" w:rsidP="00703B26" w:rsidRDefault="00703B26" w14:paraId="3B70DF48"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5）</w:t>
      </w:r>
      <w:r w:rsidRPr="00131012">
        <w:rPr>
          <w:rFonts w:hint="eastAsia" w:ascii="宋体" w:hAnsi="宋体" w:eastAsia="宋体" w:cs="宋体"/>
          <w:bCs/>
          <w:iCs/>
          <w:color w:val="000000"/>
          <w:szCs w:val="21"/>
        </w:rPr>
        <w:t>与信用等级较高的债券相比，投资于信用等级较低的债券将因为发行主体的偿还债务能力略低、受不利经济环境的影响更大以及违约风险更高等原因而面临更大的投资风险。</w:t>
      </w:r>
    </w:p>
    <w:p w:rsidRPr="00131012" w:rsidR="00703B26" w:rsidP="00703B26" w:rsidRDefault="00703B26" w14:paraId="74329B74"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6）</w:t>
      </w:r>
      <w:r w:rsidRPr="00131012">
        <w:rPr>
          <w:rFonts w:hint="eastAsia" w:ascii="宋体" w:hAnsi="宋体" w:eastAsia="宋体" w:cs="宋体"/>
          <w:bCs/>
          <w:iCs/>
          <w:color w:val="000000"/>
          <w:szCs w:val="21"/>
        </w:rPr>
        <w:t>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rsidRPr="00131012" w:rsidR="00703B26" w:rsidP="00703B26" w:rsidRDefault="00703B26" w14:paraId="5482AA39"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7）</w:t>
      </w:r>
      <w:r w:rsidRPr="00131012">
        <w:rPr>
          <w:rFonts w:hint="eastAsia" w:ascii="宋体" w:hAnsi="宋体" w:eastAsia="宋体" w:cs="宋体"/>
          <w:bCs/>
          <w:iCs/>
          <w:color w:val="000000"/>
          <w:szCs w:val="21"/>
        </w:rPr>
        <w:t>相对于其他公开发行的债券，非公开定向债务融资工具、非公开发行公司债的流动性较差，其流通和转让均存在一定的限制，因此投资于非公开定向债务融资工具将面临较大的投资风险。</w:t>
      </w:r>
    </w:p>
    <w:p w:rsidRPr="00131012" w:rsidR="00703B26" w:rsidP="00703B26" w:rsidRDefault="00703B26" w14:paraId="33C93AED"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w:t>
      </w:r>
      <w:r w:rsidRPr="00131012">
        <w:rPr>
          <w:rFonts w:ascii="宋体" w:hAnsi="宋体" w:eastAsia="宋体" w:cs="宋体"/>
          <w:bCs/>
          <w:iCs/>
          <w:color w:val="000000"/>
          <w:szCs w:val="21"/>
        </w:rPr>
        <w:t>8）</w:t>
      </w:r>
      <w:r w:rsidRPr="00131012">
        <w:rPr>
          <w:rFonts w:hint="eastAsia" w:ascii="宋体" w:hAnsi="宋体" w:eastAsia="宋体" w:cs="宋体"/>
          <w:bCs/>
          <w:iCs/>
          <w:color w:val="000000"/>
          <w:szCs w:val="21"/>
        </w:rPr>
        <w:t>债券回购风险：债券投资可能会运用正回购来增加组合杠杆，较高的债券正回购比例可能增加组合的利率风险。</w:t>
      </w:r>
    </w:p>
    <w:p w:rsidRPr="00131012" w:rsidR="00703B26" w:rsidP="00703B26" w:rsidRDefault="00703B26" w14:paraId="49E6775B" w14:textId="77777777">
      <w:pPr>
        <w:spacing w:line="360" w:lineRule="auto"/>
        <w:ind w:firstLine="422" w:firstLineChars="200"/>
        <w:rPr>
          <w:rFonts w:ascii="宋体" w:hAnsi="宋体" w:eastAsia="宋体" w:cs="宋体"/>
          <w:b/>
          <w:bCs/>
          <w:iCs/>
          <w:color w:val="000000"/>
          <w:szCs w:val="21"/>
        </w:rPr>
      </w:pPr>
      <w:r w:rsidRPr="00131012">
        <w:rPr>
          <w:rFonts w:ascii="宋体" w:hAnsi="宋体" w:eastAsia="宋体" w:cs="宋体"/>
          <w:b/>
          <w:bCs/>
          <w:iCs/>
          <w:color w:val="000000"/>
          <w:szCs w:val="21"/>
        </w:rPr>
        <w:t>2.</w:t>
      </w:r>
      <w:r w:rsidRPr="00131012">
        <w:rPr>
          <w:rFonts w:hint="eastAsia" w:ascii="宋体" w:hAnsi="宋体" w:eastAsia="宋体" w:cs="宋体"/>
          <w:b/>
          <w:bCs/>
          <w:iCs/>
          <w:color w:val="000000"/>
          <w:szCs w:val="21"/>
        </w:rPr>
        <w:t>投资于资产支持证券的特殊风险</w:t>
      </w:r>
    </w:p>
    <w:p w:rsidRPr="00131012" w:rsidR="00703B26" w:rsidP="00703B26" w:rsidRDefault="00703B26" w14:paraId="297DAF0F"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如本产品投资于资产支持证券的，则本产品可能面临如下风险：</w:t>
      </w:r>
    </w:p>
    <w:p w:rsidRPr="00131012" w:rsidR="00703B26" w:rsidP="00703B26" w:rsidRDefault="00703B26" w14:paraId="55B1937C"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产品可能遭受损失，理财产品投资者可能无法如期获得投资收益。</w:t>
      </w:r>
    </w:p>
    <w:p w:rsidRPr="00131012" w:rsidR="00703B26" w:rsidP="00703B26" w:rsidRDefault="00DF6BF6" w14:paraId="17C92FA0" w14:textId="319E5B12">
      <w:pPr>
        <w:spacing w:line="360" w:lineRule="auto"/>
        <w:ind w:firstLine="422" w:firstLineChars="200"/>
        <w:rPr>
          <w:rFonts w:ascii="宋体" w:hAnsi="宋体" w:eastAsia="宋体" w:cs="宋体"/>
          <w:b/>
          <w:bCs/>
          <w:iCs/>
          <w:color w:val="000000"/>
          <w:szCs w:val="21"/>
        </w:rPr>
      </w:pPr>
      <w:r w:rsidRPr="00D57BD7">
        <w:rPr>
          <w:rFonts w:ascii="宋体" w:hAnsi="宋体" w:eastAsia="宋体" w:cs="宋体"/>
          <w:b/>
          <w:bCs/>
          <w:iCs/>
          <w:color w:val="000000"/>
          <w:szCs w:val="21"/>
        </w:rPr>
        <w:t>3</w:t>
      </w:r>
      <w:r w:rsidRPr="007D269A" w:rsidR="00703B26">
        <w:rPr>
          <w:rFonts w:ascii="宋体" w:hAnsi="宋体" w:eastAsia="宋体" w:cs="宋体"/>
          <w:b/>
          <w:bCs/>
          <w:iCs/>
          <w:color w:val="000000"/>
          <w:szCs w:val="21"/>
        </w:rPr>
        <w:t>.</w:t>
      </w:r>
      <w:r w:rsidRPr="007D269A" w:rsidR="00703B26">
        <w:rPr>
          <w:rFonts w:hint="eastAsia" w:ascii="宋体" w:hAnsi="宋体" w:eastAsia="宋体" w:cs="宋体"/>
          <w:b/>
          <w:bCs/>
          <w:iCs/>
          <w:color w:val="000000"/>
          <w:szCs w:val="21"/>
        </w:rPr>
        <w:t>投资于信托</w:t>
      </w:r>
      <w:r w:rsidRPr="007D269A" w:rsidR="00B248D1">
        <w:rPr>
          <w:rFonts w:hint="eastAsia" w:ascii="宋体" w:hAnsi="宋体" w:eastAsia="宋体" w:cs="宋体"/>
          <w:b/>
          <w:bCs/>
          <w:iCs/>
          <w:color w:val="000000"/>
          <w:szCs w:val="21"/>
        </w:rPr>
        <w:t>产品</w:t>
      </w:r>
      <w:r w:rsidRPr="007D269A" w:rsidR="00703B26">
        <w:rPr>
          <w:rFonts w:hint="eastAsia" w:ascii="宋体" w:hAnsi="宋体" w:eastAsia="宋体" w:cs="宋体"/>
          <w:b/>
          <w:bCs/>
          <w:iCs/>
          <w:color w:val="000000"/>
          <w:szCs w:val="21"/>
        </w:rPr>
        <w:t>、资产管理计划等</w:t>
      </w:r>
      <w:r w:rsidRPr="007D269A" w:rsidR="00602248">
        <w:rPr>
          <w:rFonts w:hint="eastAsia" w:ascii="宋体" w:hAnsi="宋体" w:eastAsia="宋体" w:cs="宋体"/>
          <w:b/>
          <w:bCs/>
          <w:iCs/>
          <w:color w:val="000000"/>
          <w:szCs w:val="21"/>
        </w:rPr>
        <w:t>资产管理</w:t>
      </w:r>
      <w:r w:rsidRPr="007D269A" w:rsidR="00703B26">
        <w:rPr>
          <w:rFonts w:hint="eastAsia" w:ascii="宋体" w:hAnsi="宋体" w:eastAsia="宋体" w:cs="宋体"/>
          <w:b/>
          <w:bCs/>
          <w:iCs/>
          <w:color w:val="000000"/>
          <w:szCs w:val="21"/>
        </w:rPr>
        <w:t>产品的特殊风险</w:t>
      </w:r>
    </w:p>
    <w:p w:rsidR="00375107" w:rsidP="00703B26" w:rsidRDefault="00375107" w14:paraId="71E7455E" w14:textId="2B70425B">
      <w:pPr>
        <w:spacing w:line="360" w:lineRule="auto"/>
        <w:ind w:firstLine="420" w:firstLineChars="200"/>
        <w:rPr>
          <w:rFonts w:ascii="宋体" w:hAnsi="宋体" w:eastAsia="宋体" w:cs="宋体"/>
          <w:bCs/>
          <w:iCs/>
          <w:color w:val="000000"/>
          <w:szCs w:val="21"/>
        </w:rPr>
      </w:pPr>
      <w:r w:rsidRPr="00375107">
        <w:rPr>
          <w:rFonts w:hint="eastAsia" w:ascii="宋体" w:hAnsi="宋体" w:eastAsia="宋体" w:cs="宋体"/>
          <w:bCs/>
          <w:iCs/>
          <w:color w:val="000000"/>
          <w:szCs w:val="21"/>
        </w:rPr>
        <w:t>如本理财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投资于</w:t>
      </w:r>
      <w:r w:rsidR="00602248">
        <w:rPr>
          <w:rFonts w:hint="eastAsia" w:ascii="宋体" w:hAnsi="宋体" w:eastAsia="宋体" w:cs="宋体"/>
          <w:bCs/>
          <w:iCs/>
          <w:color w:val="000000"/>
          <w:szCs w:val="21"/>
        </w:rPr>
        <w:t>信托公司/</w:t>
      </w:r>
      <w:r w:rsidRPr="00375107">
        <w:rPr>
          <w:rFonts w:hint="eastAsia" w:ascii="宋体" w:hAnsi="宋体" w:eastAsia="宋体" w:cs="宋体"/>
          <w:bCs/>
          <w:iCs/>
          <w:color w:val="000000"/>
          <w:szCs w:val="21"/>
        </w:rPr>
        <w:t>基金管理公司</w:t>
      </w:r>
      <w:r w:rsidR="00602248">
        <w:rPr>
          <w:rFonts w:hint="eastAsia" w:ascii="宋体" w:hAnsi="宋体" w:eastAsia="宋体" w:cs="宋体"/>
          <w:bCs/>
          <w:iCs/>
          <w:color w:val="000000"/>
          <w:szCs w:val="21"/>
        </w:rPr>
        <w:t>及</w:t>
      </w:r>
      <w:r w:rsidRPr="00375107">
        <w:rPr>
          <w:rFonts w:hint="eastAsia" w:ascii="宋体" w:hAnsi="宋体" w:eastAsia="宋体" w:cs="宋体"/>
          <w:bCs/>
          <w:iCs/>
          <w:color w:val="000000"/>
          <w:szCs w:val="21"/>
        </w:rPr>
        <w:t>其子公司/证券公司</w:t>
      </w:r>
      <w:r w:rsidR="00602248">
        <w:rPr>
          <w:rFonts w:hint="eastAsia" w:ascii="宋体" w:hAnsi="宋体" w:eastAsia="宋体" w:cs="宋体"/>
          <w:bCs/>
          <w:iCs/>
          <w:color w:val="000000"/>
          <w:szCs w:val="21"/>
        </w:rPr>
        <w:t>及</w:t>
      </w:r>
      <w:r w:rsidRPr="00375107">
        <w:rPr>
          <w:rFonts w:hint="eastAsia" w:ascii="宋体" w:hAnsi="宋体" w:eastAsia="宋体" w:cs="宋体"/>
          <w:bCs/>
          <w:iCs/>
          <w:color w:val="000000"/>
          <w:szCs w:val="21"/>
        </w:rPr>
        <w:t>其子公司等机构作为管理人管理的资产管理产品时，可能因相关管理人违法违规、未尽管理人职责或发生其他情形，造成本理财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所投资的信托产品/资管计划</w:t>
      </w:r>
      <w:r w:rsidR="002F2133">
        <w:rPr>
          <w:rFonts w:hint="eastAsia" w:ascii="宋体" w:hAnsi="宋体" w:eastAsia="宋体" w:cs="宋体"/>
          <w:bCs/>
          <w:iCs/>
          <w:color w:val="000000"/>
          <w:szCs w:val="21"/>
        </w:rPr>
        <w:t>等资产管理产品</w:t>
      </w:r>
      <w:r w:rsidRPr="00375107">
        <w:rPr>
          <w:rFonts w:hint="eastAsia" w:ascii="宋体" w:hAnsi="宋体" w:eastAsia="宋体" w:cs="宋体"/>
          <w:bCs/>
          <w:iCs/>
          <w:color w:val="000000"/>
          <w:szCs w:val="21"/>
        </w:rPr>
        <w:t>的财产损失，进而引起本理财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的损失。信托产品/资管计划</w:t>
      </w:r>
      <w:r w:rsidR="002F2133">
        <w:rPr>
          <w:rFonts w:hint="eastAsia" w:ascii="宋体" w:hAnsi="宋体" w:eastAsia="宋体" w:cs="宋体"/>
          <w:bCs/>
          <w:iCs/>
          <w:color w:val="000000"/>
          <w:szCs w:val="21"/>
        </w:rPr>
        <w:t>等资产管理产品</w:t>
      </w:r>
      <w:r w:rsidRPr="00375107">
        <w:rPr>
          <w:rFonts w:hint="eastAsia" w:ascii="宋体" w:hAnsi="宋体" w:eastAsia="宋体" w:cs="宋体"/>
          <w:bCs/>
          <w:iCs/>
          <w:color w:val="000000"/>
          <w:szCs w:val="21"/>
        </w:rPr>
        <w:t>可能出现因为某种原因而被提前终止的情况，由此可能会造成对本理财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投资收益的影响。因本理财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的管理人无法对所投资的信托产品/资管计划</w:t>
      </w:r>
      <w:r w:rsidR="002F2133">
        <w:rPr>
          <w:rFonts w:hint="eastAsia" w:ascii="宋体" w:hAnsi="宋体" w:eastAsia="宋体" w:cs="宋体"/>
          <w:bCs/>
          <w:iCs/>
          <w:color w:val="000000"/>
          <w:szCs w:val="21"/>
        </w:rPr>
        <w:t>等资产管理产品</w:t>
      </w:r>
      <w:r w:rsidRPr="00375107">
        <w:rPr>
          <w:rFonts w:hint="eastAsia" w:ascii="宋体" w:hAnsi="宋体" w:eastAsia="宋体" w:cs="宋体"/>
          <w:bCs/>
          <w:iCs/>
          <w:color w:val="000000"/>
          <w:szCs w:val="21"/>
        </w:rPr>
        <w:t>进行投资决策，或未经本理财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同意将本理</w:t>
      </w:r>
      <w:r w:rsidRPr="00375107">
        <w:rPr>
          <w:rFonts w:hint="eastAsia" w:ascii="宋体" w:hAnsi="宋体" w:eastAsia="宋体" w:cs="宋体"/>
          <w:bCs/>
          <w:iCs/>
          <w:color w:val="000000"/>
          <w:szCs w:val="21"/>
        </w:rPr>
        <w:lastRenderedPageBreak/>
        <w:t>财</w:t>
      </w:r>
      <w:r w:rsidR="004A2AA7">
        <w:rPr>
          <w:rFonts w:hint="eastAsia" w:ascii="宋体" w:hAnsi="宋体" w:eastAsia="宋体" w:cs="宋体"/>
          <w:bCs/>
          <w:iCs/>
          <w:color w:val="000000"/>
          <w:szCs w:val="21"/>
        </w:rPr>
        <w:t>产品</w:t>
      </w:r>
      <w:r w:rsidRPr="00375107">
        <w:rPr>
          <w:rFonts w:hint="eastAsia" w:ascii="宋体" w:hAnsi="宋体" w:eastAsia="宋体" w:cs="宋体"/>
          <w:bCs/>
          <w:iCs/>
          <w:color w:val="000000"/>
          <w:szCs w:val="21"/>
        </w:rPr>
        <w:t>交付的资金运用于违反相关信托合同或资产管理合同约定的投资范围，导致本</w:t>
      </w:r>
      <w:r w:rsidR="004A2AA7">
        <w:rPr>
          <w:rFonts w:hint="eastAsia" w:ascii="宋体" w:hAnsi="宋体" w:eastAsia="宋体" w:cs="宋体"/>
          <w:bCs/>
          <w:iCs/>
          <w:color w:val="000000"/>
          <w:szCs w:val="21"/>
        </w:rPr>
        <w:t>理财产品</w:t>
      </w:r>
      <w:r w:rsidRPr="00375107">
        <w:rPr>
          <w:rFonts w:hint="eastAsia" w:ascii="宋体" w:hAnsi="宋体" w:eastAsia="宋体" w:cs="宋体"/>
          <w:bCs/>
          <w:iCs/>
          <w:color w:val="000000"/>
          <w:szCs w:val="21"/>
        </w:rPr>
        <w:t>项下委托财产的损失等风险。</w:t>
      </w:r>
    </w:p>
    <w:p w:rsidRPr="00FB544C" w:rsidR="00E6532A" w:rsidP="00703B26" w:rsidRDefault="00E6532A" w14:paraId="466B2731" w14:textId="26AC1553">
      <w:pPr>
        <w:spacing w:line="360" w:lineRule="auto"/>
        <w:ind w:firstLine="420" w:firstLineChars="200"/>
        <w:rPr>
          <w:rFonts w:ascii="宋体" w:hAnsi="宋体" w:eastAsia="宋体" w:cs="宋体"/>
          <w:bCs/>
          <w:iCs/>
          <w:color w:val="000000"/>
          <w:szCs w:val="21"/>
        </w:rPr>
      </w:pPr>
    </w:p>
    <w:p w:rsidRPr="00131012" w:rsidR="00703B26" w:rsidP="00703B26" w:rsidRDefault="00703B26" w14:paraId="1B2B1DD6" w14:textId="4C619632">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本《风险揭示书》所揭示事项仅为列举性质，未能详尽列明投资者参与本理财产品所面临的全部风险和可能导致投资者资产损失的所有因素。投资者应结合自身投资目的、风险偏好、资产状况等充分评估投资风险，审慎投资，独立作出是否投资本理财产品的决定并自行承担投资结果。</w:t>
      </w:r>
    </w:p>
    <w:p w:rsidRPr="00131012" w:rsidR="00703B26" w:rsidP="00703B26" w:rsidRDefault="00703B26" w14:paraId="60245E40" w14:textId="77777777">
      <w:pPr>
        <w:spacing w:line="360" w:lineRule="auto"/>
        <w:ind w:firstLine="422" w:firstLineChars="200"/>
        <w:rPr>
          <w:rFonts w:ascii="宋体" w:hAnsi="宋体" w:eastAsia="宋体" w:cs="宋体"/>
          <w:bCs/>
          <w:iCs/>
          <w:color w:val="000000"/>
          <w:szCs w:val="21"/>
        </w:rPr>
      </w:pPr>
      <w:r w:rsidRPr="00131012">
        <w:rPr>
          <w:rFonts w:hint="eastAsia" w:ascii="宋体" w:hAnsi="宋体" w:eastAsia="宋体" w:cs="宋体"/>
          <w:b/>
          <w:bCs/>
          <w:iCs/>
          <w:color w:val="000000"/>
          <w:szCs w:val="21"/>
        </w:rPr>
        <w:t>投资者知悉并确认，本《风险揭示书》及相应《投资协议书》、《销售（代理销售）协议书》、《产品说明书》、《投资者权益须知》等文件及其不时有效修订与补充共同构成一份完整且不可分割的理财产品销售文件；签署本《风险揭示书》及《投资协议书》并将资金委托给管理人运作是投资者真实的意思表示，投资者已知悉并理解理财产品的全部风险，并自愿承担由此带来的一切后果</w:t>
      </w:r>
      <w:r w:rsidRPr="00131012">
        <w:rPr>
          <w:rFonts w:hint="eastAsia" w:ascii="宋体" w:hAnsi="宋体" w:eastAsia="宋体" w:cs="宋体"/>
          <w:bCs/>
          <w:iCs/>
          <w:color w:val="000000"/>
          <w:szCs w:val="21"/>
        </w:rPr>
        <w:t>。</w:t>
      </w:r>
    </w:p>
    <w:p w:rsidR="00100260" w:rsidP="00703B26" w:rsidRDefault="00100260" w14:paraId="60FEDDEF" w14:textId="77777777">
      <w:pPr>
        <w:pStyle w:val="a3"/>
        <w:spacing w:line="360" w:lineRule="auto"/>
        <w:jc w:val="right"/>
        <w:rPr>
          <w:rFonts w:ascii="宋体" w:hAnsi="宋体" w:eastAsia="宋体" w:cs="宋体"/>
          <w:bCs/>
          <w:iCs/>
          <w:color w:val="000000"/>
          <w:szCs w:val="21"/>
        </w:rPr>
      </w:pPr>
    </w:p>
    <w:p w:rsidRPr="00131012" w:rsidR="00703B26" w:rsidP="00703B26" w:rsidRDefault="00703B26" w14:paraId="6E40B056" w14:textId="651E931E">
      <w:pPr>
        <w:pStyle w:val="a3"/>
        <w:spacing w:line="360" w:lineRule="auto"/>
        <w:jc w:val="right"/>
        <w:rPr>
          <w:rFonts w:ascii="宋体" w:hAnsi="宋体" w:eastAsia="宋体" w:cs="宋体"/>
          <w:bCs/>
          <w:iCs/>
          <w:color w:val="000000"/>
          <w:szCs w:val="21"/>
        </w:rPr>
      </w:pPr>
      <w:r w:rsidRPr="00131012">
        <w:rPr>
          <w:rFonts w:hint="eastAsia" w:ascii="宋体" w:hAnsi="宋体" w:eastAsia="宋体" w:cs="宋体"/>
          <w:bCs/>
          <w:iCs/>
          <w:color w:val="000000"/>
          <w:szCs w:val="21"/>
        </w:rPr>
        <w:t>风险揭示方：浦银理财有限责任公司</w:t>
      </w:r>
      <w:r w:rsidRPr="00131012">
        <w:rPr>
          <w:rFonts w:ascii="宋体" w:hAnsi="宋体" w:eastAsia="宋体" w:cs="宋体"/>
          <w:bCs/>
          <w:iCs/>
          <w:color w:val="000000"/>
          <w:szCs w:val="21"/>
        </w:rPr>
        <w:br w:type="page"/>
      </w:r>
    </w:p>
    <w:p w:rsidRPr="00131012" w:rsidR="00703B26" w:rsidP="00703B26" w:rsidRDefault="00703B26" w14:paraId="42B9D372" w14:textId="77777777">
      <w:pPr>
        <w:spacing w:line="360" w:lineRule="auto"/>
        <w:ind w:firstLine="422" w:firstLineChars="200"/>
        <w:jc w:val="center"/>
        <w:outlineLvl w:val="1"/>
        <w:rPr>
          <w:rFonts w:ascii="宋体" w:hAnsi="宋体" w:eastAsia="宋体" w:cs="宋体"/>
          <w:b/>
          <w:bCs/>
          <w:iCs/>
          <w:color w:val="000000"/>
          <w:szCs w:val="21"/>
        </w:rPr>
      </w:pPr>
      <w:r w:rsidRPr="00131012">
        <w:rPr>
          <w:rFonts w:hint="eastAsia" w:ascii="宋体" w:hAnsi="宋体" w:eastAsia="宋体" w:cs="宋体"/>
          <w:b/>
          <w:bCs/>
          <w:iCs/>
          <w:color w:val="000000"/>
          <w:szCs w:val="21"/>
        </w:rPr>
        <w:lastRenderedPageBreak/>
        <w:t>投资者确认栏</w:t>
      </w:r>
    </w:p>
    <w:p w:rsidRPr="00131012" w:rsidR="00703B26" w:rsidP="00703B26" w:rsidRDefault="00703B26" w14:paraId="6DF18E29" w14:textId="77777777">
      <w:pPr>
        <w:spacing w:line="360" w:lineRule="auto"/>
        <w:ind w:firstLine="420" w:firstLineChars="200"/>
        <w:rPr>
          <w:rFonts w:ascii="宋体" w:hAnsi="宋体" w:eastAsia="宋体" w:cs="宋体"/>
          <w:bCs/>
          <w:iCs/>
          <w:color w:val="000000"/>
          <w:szCs w:val="21"/>
        </w:rPr>
      </w:pPr>
      <w:r w:rsidRPr="00131012">
        <w:rPr>
          <w:rFonts w:hint="eastAsia" w:ascii="宋体" w:hAnsi="宋体" w:eastAsia="宋体" w:cs="宋体"/>
          <w:bCs/>
          <w:iCs/>
          <w:color w:val="000000"/>
          <w:szCs w:val="21"/>
        </w:rPr>
        <w:t>本人</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本机构确认本理财产品完全适合本人</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本机构的投资目标、投资预期、风险承受能力及投资经验。本人</w:t>
      </w:r>
      <w:r w:rsidRPr="00131012">
        <w:rPr>
          <w:rFonts w:ascii="宋体" w:hAnsi="宋体" w:eastAsia="宋体" w:cs="宋体"/>
          <w:bCs/>
          <w:iCs/>
          <w:color w:val="000000"/>
          <w:szCs w:val="21"/>
        </w:rPr>
        <w:t>/本机构购买理财</w:t>
      </w:r>
      <w:r w:rsidRPr="00131012">
        <w:rPr>
          <w:rFonts w:hint="eastAsia" w:ascii="宋体" w:hAnsi="宋体" w:eastAsia="宋体" w:cs="宋体"/>
          <w:bCs/>
          <w:iCs/>
          <w:color w:val="000000"/>
          <w:szCs w:val="21"/>
        </w:rPr>
        <w:t>产品的资金为自有资金，不存在使用贷款、发行债券等筹集的非自有资金投资理财产品的情形，本人</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本机构承诺投资理财产品使用的资金来源合法合规，并且系为合法之目的投资本理财产品，而非为洗钱等违法犯罪之目的，本人</w:t>
      </w:r>
      <w:r w:rsidRPr="00131012">
        <w:rPr>
          <w:rFonts w:ascii="宋体" w:hAnsi="宋体" w:eastAsia="宋体" w:cs="宋体"/>
          <w:bCs/>
          <w:iCs/>
          <w:color w:val="000000"/>
          <w:szCs w:val="21"/>
        </w:rPr>
        <w:t>/</w:t>
      </w:r>
      <w:r w:rsidRPr="00131012">
        <w:rPr>
          <w:rFonts w:hint="eastAsia" w:ascii="宋体" w:hAnsi="宋体" w:eastAsia="宋体" w:cs="宋体"/>
          <w:bCs/>
          <w:iCs/>
          <w:color w:val="000000"/>
          <w:szCs w:val="21"/>
        </w:rPr>
        <w:t>本机构将配合销售机构及产品管理人开展客户身份识别及尽职调查等反洗钱、反恐怖融资活动及非居民金融账户涉税信息尽职调查活动，及时、真实、准确、完整提供身份信息及资金来源等信息。</w:t>
      </w:r>
      <w:r w:rsidRPr="000303CA">
        <w:rPr>
          <w:rFonts w:hint="eastAsia" w:ascii="宋体" w:hAnsi="宋体" w:eastAsia="宋体" w:cs="宋体"/>
          <w:b/>
          <w:bCs/>
          <w:iCs/>
          <w:color w:val="000000"/>
          <w:szCs w:val="21"/>
        </w:rPr>
        <w:t>本人</w:t>
      </w:r>
      <w:r w:rsidRPr="000303CA">
        <w:rPr>
          <w:rFonts w:ascii="宋体" w:hAnsi="宋体" w:eastAsia="宋体" w:cs="宋体"/>
          <w:b/>
          <w:bCs/>
          <w:iCs/>
          <w:color w:val="000000"/>
          <w:szCs w:val="21"/>
        </w:rPr>
        <w:t>/</w:t>
      </w:r>
      <w:r w:rsidRPr="000303CA">
        <w:rPr>
          <w:rFonts w:hint="eastAsia" w:ascii="宋体" w:hAnsi="宋体" w:eastAsia="宋体" w:cs="宋体"/>
          <w:b/>
          <w:bCs/>
          <w:iCs/>
          <w:color w:val="000000"/>
          <w:szCs w:val="21"/>
        </w:rPr>
        <w:t>本机构确认销售机构相关业务人员对于《产品说明书》中有关免除、限制管理人责任的条款，和管理人单方面拥有某些权利的条款已向本人</w:t>
      </w:r>
      <w:r w:rsidRPr="000303CA">
        <w:rPr>
          <w:rFonts w:ascii="宋体" w:hAnsi="宋体" w:eastAsia="宋体" w:cs="宋体"/>
          <w:b/>
          <w:bCs/>
          <w:iCs/>
          <w:color w:val="000000"/>
          <w:szCs w:val="21"/>
        </w:rPr>
        <w:t>/</w:t>
      </w:r>
      <w:r w:rsidRPr="000303CA">
        <w:rPr>
          <w:rFonts w:hint="eastAsia" w:ascii="宋体" w:hAnsi="宋体" w:eastAsia="宋体" w:cs="宋体"/>
          <w:b/>
          <w:bCs/>
          <w:iCs/>
          <w:color w:val="000000"/>
          <w:szCs w:val="21"/>
        </w:rPr>
        <w:t>本机构予以说明。</w:t>
      </w:r>
    </w:p>
    <w:p w:rsidRPr="00131012" w:rsidR="00703B26" w:rsidP="00703B26" w:rsidRDefault="00703B26" w14:paraId="66E79B40" w14:textId="77777777">
      <w:pPr>
        <w:spacing w:line="360" w:lineRule="auto"/>
        <w:ind w:firstLine="420" w:firstLineChars="200"/>
        <w:rPr>
          <w:rFonts w:ascii="宋体" w:hAnsi="宋体" w:eastAsia="宋体"/>
        </w:rPr>
      </w:pPr>
    </w:p>
    <w:p w:rsidRPr="00131012" w:rsidR="00703B26" w:rsidP="00703B26" w:rsidRDefault="00703B26" w14:paraId="5E3BD6DE" w14:textId="77777777">
      <w:pPr>
        <w:spacing w:line="36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（一）普通投资者</w:t>
      </w:r>
      <w:r w:rsidRPr="00131012">
        <w:rPr>
          <w:rFonts w:hint="eastAsia" w:ascii="宋体" w:hAnsi="宋体" w:eastAsia="宋体" w:cs="宋体"/>
          <w:b/>
          <w:bCs/>
          <w:color w:val="000000"/>
          <w:szCs w:val="21"/>
        </w:rPr>
        <w:t>声明</w:t>
      </w:r>
      <w:r w:rsidRPr="00131012">
        <w:rPr>
          <w:rFonts w:hint="eastAsia" w:ascii="宋体" w:hAnsi="宋体" w:eastAsia="宋体" w:cs="宋体"/>
          <w:b/>
          <w:bCs/>
          <w:iCs/>
          <w:color w:val="000000"/>
          <w:szCs w:val="21"/>
        </w:rPr>
        <w:t>（由普通投资者本人/授权经办人填写，专业投资者请勿填写）</w:t>
      </w:r>
    </w:p>
    <w:p w:rsidRPr="00131012" w:rsidR="00703B26" w:rsidP="00703B26" w:rsidRDefault="00703B26" w14:paraId="38AEDCB7" w14:textId="77777777">
      <w:pPr>
        <w:spacing w:line="36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★投资者</w:t>
      </w:r>
      <w:r w:rsidRPr="00131012">
        <w:rPr>
          <w:rFonts w:ascii="宋体" w:hAnsi="宋体" w:eastAsia="宋体" w:cs="宋体"/>
          <w:b/>
          <w:bCs/>
          <w:iCs/>
          <w:color w:val="000000"/>
          <w:szCs w:val="21"/>
        </w:rPr>
        <w:t>风险承受能力评级结果</w:t>
      </w:r>
    </w:p>
    <w:p w:rsidRPr="00131012" w:rsidR="00703B26" w:rsidP="00703B26" w:rsidRDefault="00703B26" w14:paraId="275618B2"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w:t>
      </w:r>
      <w:r w:rsidRPr="00131012">
        <w:rPr>
          <w:rFonts w:ascii="宋体" w:hAnsi="宋体" w:eastAsia="宋体" w:cs="宋体"/>
          <w:b/>
          <w:bCs/>
          <w:iCs/>
          <w:color w:val="000000"/>
          <w:szCs w:val="21"/>
        </w:rPr>
        <w:t xml:space="preserve"> C1</w:t>
      </w:r>
      <w:r w:rsidRPr="00131012">
        <w:rPr>
          <w:rFonts w:hint="eastAsia" w:ascii="宋体" w:hAnsi="宋体" w:eastAsia="宋体" w:cs="宋体"/>
          <w:b/>
          <w:bCs/>
          <w:iCs/>
          <w:color w:val="000000"/>
          <w:szCs w:val="21"/>
        </w:rPr>
        <w:t>保守型</w:t>
      </w:r>
      <w:r w:rsidRPr="00131012">
        <w:rPr>
          <w:rFonts w:ascii="宋体" w:hAnsi="宋体" w:eastAsia="宋体" w:cs="宋体"/>
          <w:b/>
          <w:bCs/>
          <w:iCs/>
          <w:color w:val="000000"/>
          <w:szCs w:val="21"/>
        </w:rPr>
        <w:t xml:space="preserve">    □ C2</w:t>
      </w:r>
      <w:r w:rsidRPr="00131012">
        <w:rPr>
          <w:rFonts w:hint="eastAsia" w:ascii="宋体" w:hAnsi="宋体" w:eastAsia="宋体" w:cs="宋体"/>
          <w:b/>
          <w:bCs/>
          <w:iCs/>
          <w:color w:val="000000"/>
          <w:szCs w:val="21"/>
        </w:rPr>
        <w:t>稳健型</w:t>
      </w:r>
      <w:r w:rsidRPr="00131012">
        <w:rPr>
          <w:rFonts w:ascii="宋体" w:hAnsi="宋体" w:eastAsia="宋体" w:cs="宋体"/>
          <w:b/>
          <w:bCs/>
          <w:iCs/>
          <w:color w:val="000000"/>
          <w:szCs w:val="21"/>
        </w:rPr>
        <w:t xml:space="preserve">    □ C3</w:t>
      </w:r>
      <w:r w:rsidRPr="00131012">
        <w:rPr>
          <w:rFonts w:hint="eastAsia" w:ascii="宋体" w:hAnsi="宋体" w:eastAsia="宋体" w:cs="宋体"/>
          <w:b/>
          <w:bCs/>
          <w:iCs/>
          <w:color w:val="000000"/>
          <w:szCs w:val="21"/>
        </w:rPr>
        <w:t>平衡型</w:t>
      </w:r>
      <w:r w:rsidRPr="00131012">
        <w:rPr>
          <w:rFonts w:ascii="宋体" w:hAnsi="宋体" w:eastAsia="宋体" w:cs="宋体"/>
          <w:b/>
          <w:bCs/>
          <w:iCs/>
          <w:color w:val="000000"/>
          <w:szCs w:val="21"/>
        </w:rPr>
        <w:t xml:space="preserve">    □ C4</w:t>
      </w:r>
      <w:r w:rsidRPr="00131012">
        <w:rPr>
          <w:rFonts w:hint="eastAsia" w:ascii="宋体" w:hAnsi="宋体" w:eastAsia="宋体" w:cs="宋体"/>
          <w:b/>
          <w:bCs/>
          <w:iCs/>
          <w:color w:val="000000"/>
          <w:szCs w:val="21"/>
        </w:rPr>
        <w:t>成长型</w:t>
      </w:r>
      <w:r w:rsidRPr="00131012">
        <w:rPr>
          <w:rFonts w:ascii="宋体" w:hAnsi="宋体" w:eastAsia="宋体" w:cs="宋体"/>
          <w:b/>
          <w:bCs/>
          <w:iCs/>
          <w:color w:val="000000"/>
          <w:szCs w:val="21"/>
        </w:rPr>
        <w:t xml:space="preserve">    □ C5</w:t>
      </w:r>
      <w:r w:rsidRPr="00131012">
        <w:rPr>
          <w:rFonts w:hint="eastAsia" w:ascii="宋体" w:hAnsi="宋体" w:eastAsia="宋体" w:cs="宋体"/>
          <w:b/>
          <w:bCs/>
          <w:iCs/>
          <w:color w:val="000000"/>
          <w:szCs w:val="21"/>
        </w:rPr>
        <w:t>进取型</w:t>
      </w:r>
    </w:p>
    <w:p w:rsidRPr="00131012" w:rsidR="00703B26" w:rsidP="00703B26" w:rsidRDefault="00703B26" w14:paraId="2CFE31B1" w14:textId="77777777">
      <w:pPr>
        <w:spacing w:line="360" w:lineRule="auto"/>
        <w:rPr>
          <w:rFonts w:ascii="宋体" w:hAnsi="宋体" w:eastAsia="宋体" w:cs="宋体"/>
          <w:b/>
          <w:bCs/>
          <w:iCs/>
          <w:color w:val="000000"/>
          <w:szCs w:val="21"/>
        </w:rPr>
      </w:pPr>
    </w:p>
    <w:p w:rsidRPr="00402965" w:rsidR="00703B26" w:rsidP="00703B26" w:rsidRDefault="00703B26" w14:paraId="5E3BD6DE" w14:textId="77777777">
      <w:pPr>
        <w:spacing w:line="360" w:lineRule="auto"/>
        <w:ind w:firstLine="480"/>
        <w:rPr>
          <w:rFonts w:ascii="宋体" w:hAnsi="宋体" w:eastAsia="宋体" w:cs="宋体"/>
          <w:b/>
          <w:bCs/>
          <w:iCs/>
          <w:color w:val="000000"/>
          <w:szCs w:val="21"/>
        </w:rPr>
      </w:pPr>
      <w:r w:rsidRPr="00402965">
        <w:rPr>
          <w:rFonts w:hint="eastAsia" w:ascii="宋体" w:hAnsi="宋体" w:eastAsia="宋体" w:cs="宋体"/>
          <w:b/>
          <w:bCs/>
          <w:iCs/>
          <w:color w:val="000000"/>
          <w:szCs w:val="21"/>
        </w:rPr>
        <w:t>（二）个人投资者</w:t>
      </w:r>
      <w:r w:rsidRPr="00402965">
        <w:rPr>
          <w:rFonts w:hint="eastAsia" w:ascii="宋体" w:hAnsi="宋体" w:eastAsia="宋体" w:cs="宋体"/>
          <w:b/>
          <w:bCs/>
          <w:color w:val="000000"/>
          <w:szCs w:val="21"/>
        </w:rPr>
        <w:t>声明</w:t>
      </w:r>
      <w:r w:rsidRPr="00402965">
        <w:rPr>
          <w:rFonts w:hint="eastAsia" w:ascii="宋体" w:hAnsi="宋体" w:eastAsia="宋体" w:cs="宋体"/>
          <w:b/>
          <w:bCs/>
          <w:iCs/>
          <w:color w:val="000000"/>
          <w:szCs w:val="21"/>
        </w:rPr>
        <w:t>（由个人投资者本人填写，机构投资者请勿填写）</w:t>
      </w:r>
    </w:p>
    <w:p w:rsidRPr="00131012" w:rsidR="00703B26" w:rsidP="00703B26" w:rsidRDefault="00703B26" w14:paraId="2EC522A7" w14:textId="77777777">
      <w:pPr>
        <w:spacing w:line="36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★确认语句栏：本人已经阅读风险揭示，愿意承担投资风险。</w:t>
      </w:r>
    </w:p>
    <w:p w:rsidRPr="00131012" w:rsidR="00703B26" w:rsidP="00703B26" w:rsidRDefault="00703B26" w14:paraId="5BCF21DB" w14:textId="77777777">
      <w:pPr>
        <w:spacing w:line="72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抄</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录：</w:t>
      </w:r>
      <w:r w:rsidRPr="00131012">
        <w:rPr>
          <w:rFonts w:ascii="宋体" w:hAnsi="宋体" w:eastAsia="宋体" w:cs="宋体"/>
          <w:b/>
          <w:bCs/>
          <w:iCs/>
          <w:color w:val="000000"/>
          <w:szCs w:val="21"/>
        </w:rPr>
        <w:t>________________________________________________________________</w:t>
      </w:r>
    </w:p>
    <w:p w:rsidRPr="00131012" w:rsidR="00703B26" w:rsidP="00703B26" w:rsidRDefault="00703B26" w14:paraId="3452A973" w14:textId="77777777">
      <w:pPr>
        <w:widowControl/>
        <w:tabs>
          <w:tab w:val="left" w:pos="360"/>
        </w:tabs>
        <w:snapToGrid w:val="false"/>
        <w:spacing w:line="720" w:lineRule="auto"/>
        <w:jc w:val="left"/>
        <w:rPr>
          <w:rFonts w:ascii="宋体" w:hAnsi="宋体" w:eastAsia="宋体" w:cs="宋体"/>
          <w:b/>
          <w:bCs/>
          <w:iCs/>
          <w:color w:val="000000"/>
          <w:szCs w:val="21"/>
        </w:rPr>
      </w:pPr>
      <w:r w:rsidRPr="00131012">
        <w:rPr>
          <w:rFonts w:ascii="宋体" w:hAnsi="宋体" w:eastAsia="宋体" w:cs="宋体"/>
          <w:b/>
          <w:bCs/>
          <w:iCs/>
          <w:color w:val="000000"/>
          <w:szCs w:val="21"/>
        </w:rPr>
        <w:t>______________________________________________________________________________</w:t>
      </w:r>
    </w:p>
    <w:p w:rsidRPr="00131012" w:rsidR="00703B26" w:rsidP="00703B26" w:rsidRDefault="00703B26" w14:paraId="623B60EA"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投资者签字：</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日期：</w:t>
      </w:r>
      <w:r w:rsidRPr="00131012">
        <w:rPr>
          <w:rFonts w:ascii="宋体" w:hAnsi="宋体" w:eastAsia="宋体" w:cs="宋体"/>
          <w:b/>
          <w:bCs/>
          <w:iCs/>
          <w:color w:val="000000"/>
          <w:szCs w:val="21"/>
        </w:rPr>
        <w:tab/>
      </w:r>
      <w:r w:rsidRPr="00131012">
        <w:rPr>
          <w:rFonts w:hint="eastAsia" w:ascii="宋体" w:hAnsi="宋体" w:eastAsia="宋体" w:cs="宋体"/>
          <w:b/>
          <w:bCs/>
          <w:iCs/>
          <w:color w:val="000000"/>
          <w:szCs w:val="21"/>
        </w:rPr>
        <w:t>年</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月</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日</w:t>
      </w:r>
    </w:p>
    <w:p w:rsidRPr="00131012" w:rsidR="00703B26" w:rsidP="00703B26" w:rsidRDefault="00703B26" w14:paraId="1B01DD6E" w14:textId="77777777">
      <w:pPr>
        <w:spacing w:line="360" w:lineRule="auto"/>
        <w:ind w:firstLine="422" w:firstLineChars="200"/>
        <w:rPr>
          <w:rFonts w:ascii="宋体" w:hAnsi="宋体" w:eastAsia="宋体" w:cs="宋体"/>
          <w:b/>
          <w:bCs/>
          <w:iCs/>
          <w:color w:val="000000"/>
          <w:szCs w:val="21"/>
        </w:rPr>
      </w:pPr>
    </w:p>
    <w:p w:rsidRPr="00131012" w:rsidR="00703B26" w:rsidP="00703B26" w:rsidRDefault="00703B26" w14:paraId="461C9B23" w14:textId="77777777">
      <w:pPr>
        <w:spacing w:line="36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（三）机构投资者</w:t>
      </w:r>
      <w:r w:rsidRPr="00131012">
        <w:rPr>
          <w:rFonts w:hint="eastAsia" w:ascii="宋体" w:hAnsi="宋体" w:eastAsia="宋体" w:cs="宋体"/>
          <w:b/>
          <w:bCs/>
          <w:color w:val="000000"/>
          <w:szCs w:val="21"/>
        </w:rPr>
        <w:t>声明</w:t>
      </w:r>
      <w:r w:rsidRPr="00131012">
        <w:rPr>
          <w:rFonts w:hint="eastAsia" w:ascii="宋体" w:hAnsi="宋体" w:eastAsia="宋体" w:cs="宋体"/>
          <w:b/>
          <w:bCs/>
          <w:iCs/>
          <w:color w:val="000000"/>
          <w:szCs w:val="21"/>
        </w:rPr>
        <w:t>（由机构投资者授权经办人填写，个人投资者请勿填写）</w:t>
      </w:r>
    </w:p>
    <w:p w:rsidRPr="00131012" w:rsidR="00703B26" w:rsidP="00703B26" w:rsidRDefault="00703B26" w14:paraId="52786C20" w14:textId="77777777">
      <w:pPr>
        <w:spacing w:line="36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w:t>
      </w:r>
      <w:r w:rsidRPr="00131012">
        <w:rPr>
          <w:rFonts w:ascii="宋体" w:hAnsi="宋体" w:eastAsia="宋体" w:cs="宋体"/>
          <w:b/>
          <w:bCs/>
          <w:iCs/>
          <w:color w:val="000000"/>
          <w:szCs w:val="21"/>
        </w:rPr>
        <w:t>确认语句栏</w:t>
      </w:r>
      <w:r w:rsidRPr="00131012">
        <w:rPr>
          <w:rFonts w:hint="eastAsia" w:ascii="宋体" w:hAnsi="宋体" w:eastAsia="宋体" w:cs="宋体"/>
          <w:b/>
          <w:bCs/>
          <w:iCs/>
          <w:color w:val="000000"/>
          <w:szCs w:val="21"/>
        </w:rPr>
        <w:t>：我司已经阅读风险揭示，愿意承担投资风险。</w:t>
      </w:r>
    </w:p>
    <w:p w:rsidRPr="00131012" w:rsidR="00703B26" w:rsidP="00703B26" w:rsidRDefault="00703B26" w14:paraId="70D8DC5E" w14:textId="77777777">
      <w:pPr>
        <w:spacing w:line="720" w:lineRule="auto"/>
        <w:ind w:firstLine="480"/>
        <w:rPr>
          <w:rFonts w:ascii="宋体" w:hAnsi="宋体" w:eastAsia="宋体" w:cs="宋体"/>
          <w:b/>
          <w:bCs/>
          <w:iCs/>
          <w:color w:val="000000"/>
          <w:szCs w:val="21"/>
        </w:rPr>
      </w:pPr>
      <w:r w:rsidRPr="00131012">
        <w:rPr>
          <w:rFonts w:hint="eastAsia" w:ascii="宋体" w:hAnsi="宋体" w:eastAsia="宋体" w:cs="宋体"/>
          <w:b/>
          <w:bCs/>
          <w:iCs/>
          <w:color w:val="000000"/>
          <w:szCs w:val="21"/>
        </w:rPr>
        <w:t>抄</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录：</w:t>
      </w:r>
      <w:r w:rsidRPr="00131012">
        <w:rPr>
          <w:rFonts w:ascii="宋体" w:hAnsi="宋体" w:eastAsia="宋体" w:cs="宋体"/>
          <w:b/>
          <w:bCs/>
          <w:iCs/>
          <w:color w:val="000000"/>
          <w:szCs w:val="21"/>
        </w:rPr>
        <w:t>________________________________________________________________</w:t>
      </w:r>
    </w:p>
    <w:p w:rsidRPr="00131012" w:rsidR="00703B26" w:rsidP="00703B26" w:rsidRDefault="00703B26" w14:paraId="4A8AECB2" w14:textId="77777777">
      <w:pPr>
        <w:widowControl/>
        <w:tabs>
          <w:tab w:val="left" w:pos="360"/>
        </w:tabs>
        <w:snapToGrid w:val="false"/>
        <w:spacing w:line="720" w:lineRule="auto"/>
        <w:jc w:val="left"/>
        <w:rPr>
          <w:rFonts w:ascii="宋体" w:hAnsi="宋体" w:eastAsia="宋体" w:cs="宋体"/>
          <w:b/>
          <w:bCs/>
          <w:iCs/>
          <w:color w:val="000000"/>
          <w:szCs w:val="21"/>
        </w:rPr>
      </w:pPr>
      <w:r w:rsidRPr="00131012">
        <w:rPr>
          <w:rFonts w:ascii="宋体" w:hAnsi="宋体" w:eastAsia="宋体" w:cs="宋体"/>
          <w:b/>
          <w:bCs/>
          <w:iCs/>
          <w:color w:val="000000"/>
          <w:szCs w:val="21"/>
        </w:rPr>
        <w:t>______________________________________________________________________________</w:t>
      </w:r>
    </w:p>
    <w:p w:rsidRPr="00131012" w:rsidR="00703B26" w:rsidP="00703B26" w:rsidRDefault="00703B26" w14:paraId="4EA74DE4"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机构投资者（公章或合同专用章）：</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日期：</w:t>
      </w:r>
      <w:r w:rsidRPr="00131012">
        <w:rPr>
          <w:rFonts w:ascii="宋体" w:hAnsi="宋体" w:eastAsia="宋体" w:cs="宋体"/>
          <w:b/>
          <w:bCs/>
          <w:iCs/>
          <w:color w:val="000000"/>
          <w:szCs w:val="21"/>
        </w:rPr>
        <w:tab/>
      </w:r>
      <w:r w:rsidRPr="00131012">
        <w:rPr>
          <w:rFonts w:hint="eastAsia" w:ascii="宋体" w:hAnsi="宋体" w:eastAsia="宋体" w:cs="宋体"/>
          <w:b/>
          <w:bCs/>
          <w:iCs/>
          <w:color w:val="000000"/>
          <w:szCs w:val="21"/>
        </w:rPr>
        <w:t>年</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月</w:t>
      </w:r>
      <w:r w:rsidRPr="00131012">
        <w:rPr>
          <w:rFonts w:ascii="宋体" w:hAnsi="宋体" w:eastAsia="宋体" w:cs="宋体"/>
          <w:b/>
          <w:bCs/>
          <w:iCs/>
          <w:color w:val="000000"/>
          <w:szCs w:val="21"/>
        </w:rPr>
        <w:t xml:space="preserve">   </w:t>
      </w:r>
      <w:r w:rsidRPr="00131012">
        <w:rPr>
          <w:rFonts w:hint="eastAsia" w:ascii="宋体" w:hAnsi="宋体" w:eastAsia="宋体" w:cs="宋体"/>
          <w:b/>
          <w:bCs/>
          <w:iCs/>
          <w:color w:val="000000"/>
          <w:szCs w:val="21"/>
        </w:rPr>
        <w:t>日</w:t>
      </w:r>
    </w:p>
    <w:p w:rsidRPr="00131012" w:rsidR="00703B26" w:rsidP="00703B26" w:rsidRDefault="00703B26" w14:paraId="03640CE2" w14:textId="77777777">
      <w:pPr>
        <w:spacing w:line="360" w:lineRule="auto"/>
        <w:ind w:firstLine="422" w:firstLineChars="200"/>
        <w:rPr>
          <w:rFonts w:ascii="宋体" w:hAnsi="宋体" w:eastAsia="宋体" w:cs="宋体"/>
          <w:b/>
          <w:bCs/>
          <w:iCs/>
          <w:color w:val="000000"/>
          <w:szCs w:val="21"/>
        </w:rPr>
      </w:pPr>
      <w:r w:rsidRPr="00131012">
        <w:rPr>
          <w:rFonts w:hint="eastAsia" w:ascii="宋体" w:hAnsi="宋体" w:eastAsia="宋体" w:cs="宋体"/>
          <w:b/>
          <w:bCs/>
          <w:iCs/>
          <w:color w:val="000000"/>
          <w:szCs w:val="21"/>
        </w:rPr>
        <w:t>法定代表人或授权代理人</w:t>
      </w:r>
      <w:r w:rsidRPr="00131012">
        <w:rPr>
          <w:rFonts w:ascii="宋体" w:hAnsi="宋体" w:eastAsia="宋体" w:cs="宋体"/>
          <w:b/>
          <w:bCs/>
          <w:iCs/>
          <w:color w:val="000000"/>
          <w:szCs w:val="21"/>
        </w:rPr>
        <w:t>/有权签字人</w:t>
      </w:r>
      <w:r w:rsidRPr="00131012">
        <w:rPr>
          <w:rFonts w:hint="eastAsia" w:ascii="宋体" w:hAnsi="宋体" w:eastAsia="宋体" w:cs="宋体"/>
          <w:b/>
          <w:bCs/>
          <w:iCs/>
          <w:color w:val="000000"/>
          <w:szCs w:val="21"/>
        </w:rPr>
        <w:t>（签章）：</w:t>
      </w:r>
    </w:p>
    <w:sectPr w:rsidRPr="00131012" w:rsidR="00703B2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85B73" w:rsidP="008968C2" w:rsidRDefault="00B85B73" w14:paraId="1E5F1284" w14:textId="77777777">
      <w:pPr>
        <w:spacing w:line="240" w:lineRule="auto"/>
      </w:pPr>
      <w:r>
        <w:separator/>
      </w:r>
    </w:p>
  </w:endnote>
  <w:endnote w:type="continuationSeparator" w:id="0">
    <w:p w:rsidR="00B85B73" w:rsidP="008968C2" w:rsidRDefault="00B85B73" w14:paraId="407CAEBA" w14:textId="77777777">
      <w:pPr>
        <w:spacing w:line="240" w:lineRule="auto"/>
      </w:pPr>
      <w:r>
        <w:continuationSeparator/>
      </w:r>
    </w:p>
  </w:endnote>
  <w:endnote w:type="continuationNotice" w:id="1">
    <w:p w:rsidR="00B85B73" w:rsidRDefault="00B85B73" w14:paraId="036DCFB1" w14:textId="77777777">
      <w:pPr>
        <w:spacing w:line="240" w:lineRule="auto"/>
      </w:pP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68C2" w:rsidRDefault="008968C2" w14:paraId="6C22A304" w14:textId="3084CE32">
    <w:pPr>
      <w:pStyle w:val="ae"/>
    </w:pPr>
  </w:p>
  <w:p w:rsidRPr="00131012" w:rsidR="008968C2" w:rsidRDefault="007E06CD" w14:paraId="0B252D46" w14:textId="0D747C1F">
    <w:pPr>
      <w:pStyle w:val="ae"/>
      <w:rPr>
        <w:rFonts w:ascii="宋体" w:hAnsi="宋体" w:eastAsia="宋体"/>
        <w:sz w:val="21"/>
        <w:szCs w:val="20"/>
      </w:rPr>
    </w:pPr>
    <w:r>
      <w:rPr>
        <w:rFonts w:hint="eastAsia" w:ascii="宋体" w:hAnsi="宋体" w:eastAsia="宋体"/>
        <w:color w:val="2E74B5" w:themeColor="accent5" w:themeShade="BF"/>
      </w:rPr>
      <w:t>浦银理财·</w:t>
    </w:r>
    <w:r w:rsidR="00226CCE">
      <w:rPr>
        <w:rFonts w:hint="eastAsia" w:ascii="宋体" w:hAnsi="宋体" w:eastAsia="宋体"/>
        <w:color w:val="2E74B5" w:themeColor="accent5" w:themeShade="BF"/>
      </w:rPr>
      <w:t>现金管理类</w:t>
    </w:r>
    <w:r w:rsidRPr="00131012" w:rsidR="008968C2">
      <w:rPr>
        <w:rFonts w:ascii="宋体" w:hAnsi="宋体" w:eastAsia="宋体"/>
        <w:color w:val="2E74B5" w:themeColor="accent5" w:themeShade="BF"/>
      </w:rPr>
      <w:t xml:space="preserve"> </w:t>
    </w:r>
    <w:r w:rsidRPr="00131012" w:rsidR="008968C2">
      <w:rPr>
        <w:rFonts w:ascii="宋体" w:hAnsi="宋体" w:eastAsia="宋体"/>
      </w:rPr>
      <w:t xml:space="preserve">                          </w:t>
    </w:r>
    <w:r w:rsidR="00F32658">
      <w:rPr>
        <w:rFonts w:ascii="宋体" w:hAnsi="宋体" w:eastAsia="宋体"/>
      </w:rPr>
      <w:t xml:space="preserve">                      </w:t>
    </w:r>
    <w:r w:rsidRPr="00131012" w:rsidR="008968C2">
      <w:rPr>
        <w:rFonts w:hint="eastAsia" w:ascii="宋体" w:hAnsi="宋体" w:eastAsia="宋体"/>
      </w:rPr>
      <w:t>第</w:t>
    </w:r>
    <w:r w:rsidRPr="00131012" w:rsidR="008968C2">
      <w:rPr>
        <w:rFonts w:ascii="宋体" w:hAnsi="宋体" w:eastAsia="宋体"/>
        <w:bCs/>
      </w:rPr>
      <w:fldChar w:fldCharType="begin"/>
    </w:r>
    <w:r w:rsidRPr="00131012" w:rsidR="008968C2">
      <w:rPr>
        <w:rFonts w:ascii="宋体" w:hAnsi="宋体" w:eastAsia="宋体"/>
        <w:bCs/>
      </w:rPr>
      <w:instrText>PAGE</w:instrText>
    </w:r>
    <w:r w:rsidRPr="00131012" w:rsidR="008968C2">
      <w:rPr>
        <w:rFonts w:ascii="宋体" w:hAnsi="宋体" w:eastAsia="宋体"/>
        <w:bCs/>
      </w:rPr>
      <w:fldChar w:fldCharType="separate"/>
    </w:r>
    <w:r w:rsidR="00F9713E">
      <w:rPr>
        <w:rFonts w:ascii="宋体" w:hAnsi="宋体" w:eastAsia="宋体"/>
        <w:bCs/>
        <w:noProof/>
      </w:rPr>
      <w:t>1</w:t>
    </w:r>
    <w:r w:rsidRPr="00131012" w:rsidR="008968C2">
      <w:rPr>
        <w:rFonts w:ascii="宋体" w:hAnsi="宋体" w:eastAsia="宋体"/>
        <w:bCs/>
      </w:rPr>
      <w:fldChar w:fldCharType="end"/>
    </w:r>
    <w:r w:rsidRPr="00131012" w:rsidR="008968C2">
      <w:rPr>
        <w:rFonts w:hint="eastAsia" w:ascii="宋体" w:hAnsi="宋体" w:eastAsia="宋体"/>
        <w:bCs/>
      </w:rPr>
      <w:t>页，共</w:t>
    </w:r>
    <w:r w:rsidRPr="00131012" w:rsidR="008968C2">
      <w:rPr>
        <w:rFonts w:ascii="宋体" w:hAnsi="宋体" w:eastAsia="宋体"/>
        <w:bCs/>
      </w:rPr>
      <w:fldChar w:fldCharType="begin"/>
    </w:r>
    <w:r w:rsidRPr="00131012" w:rsidR="008968C2">
      <w:rPr>
        <w:rFonts w:ascii="宋体" w:hAnsi="宋体" w:eastAsia="宋体"/>
        <w:bCs/>
      </w:rPr>
      <w:instrText>NUMPAGES</w:instrText>
    </w:r>
    <w:r w:rsidRPr="00131012" w:rsidR="008968C2">
      <w:rPr>
        <w:rFonts w:ascii="宋体" w:hAnsi="宋体" w:eastAsia="宋体"/>
        <w:bCs/>
      </w:rPr>
      <w:fldChar w:fldCharType="separate"/>
    </w:r>
    <w:r w:rsidR="00F9713E">
      <w:rPr>
        <w:rFonts w:ascii="宋体" w:hAnsi="宋体" w:eastAsia="宋体"/>
        <w:bCs/>
        <w:noProof/>
      </w:rPr>
      <w:t>9</w:t>
    </w:r>
    <w:r w:rsidRPr="00131012" w:rsidR="008968C2">
      <w:rPr>
        <w:rFonts w:ascii="宋体" w:hAnsi="宋体" w:eastAsia="宋体"/>
        <w:bCs/>
      </w:rPr>
      <w:fldChar w:fldCharType="end"/>
    </w:r>
    <w:r w:rsidRPr="00131012" w:rsidR="008968C2">
      <w:rPr>
        <w:rFonts w:hint="eastAsia" w:ascii="宋体" w:hAnsi="宋体" w:eastAsia="宋体"/>
        <w:bCs/>
      </w:rPr>
      <w:t>页</w:t>
    </w:r>
  </w:p>
</w:ftr>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85B73" w:rsidP="008968C2" w:rsidRDefault="00B85B73" w14:paraId="174F573A" w14:textId="77777777">
      <w:pPr>
        <w:spacing w:line="240" w:lineRule="auto"/>
      </w:pPr>
      <w:r>
        <w:separator/>
      </w:r>
    </w:p>
  </w:footnote>
  <w:footnote w:type="continuationSeparator" w:id="0">
    <w:p w:rsidR="00B85B73" w:rsidP="008968C2" w:rsidRDefault="00B85B73" w14:paraId="6BE02604" w14:textId="77777777">
      <w:pPr>
        <w:spacing w:line="240" w:lineRule="auto"/>
      </w:pPr>
      <w:r>
        <w:continuationSeparator/>
      </w:r>
    </w:p>
  </w:footnote>
  <w:footnote w:type="continuationNotice" w:id="1">
    <w:p w:rsidR="00B85B73" w:rsidRDefault="00B85B73" w14:paraId="7A012A92" w14:textId="77777777">
      <w:pPr>
        <w:spacing w:line="240" w:lineRule="auto"/>
      </w:pPr>
    </w:p>
  </w:footnote>
</w:footnotes>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6"/>
  <w:bordersDoNotSurroundHeader/>
  <w:bordersDoNotSurroundFooter/>
  <w:trackRevisions/>
  <w:documentProtection w:formatting="true" w:enforcement="false" w:cryptProviderType="rsaAES" w:cryptAlgorithmClass="hash" w:cryptAlgorithmType="typeAny" w:cryptAlgorithmSid="14" w:cryptSpinCount="100000" w:salt="r1NE3bdCf1WIeKmD6XSlqA=="/>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B26"/>
    <w:rsid w:val="000031C1"/>
    <w:rsid w:val="00013236"/>
    <w:rsid w:val="000303CA"/>
    <w:rsid w:val="00034564"/>
    <w:rsid w:val="00035EAC"/>
    <w:rsid w:val="00043619"/>
    <w:rsid w:val="00044DF1"/>
    <w:rsid w:val="00054280"/>
    <w:rsid w:val="00066014"/>
    <w:rsid w:val="00075C0D"/>
    <w:rsid w:val="00080523"/>
    <w:rsid w:val="00086E09"/>
    <w:rsid w:val="0009083D"/>
    <w:rsid w:val="000955FF"/>
    <w:rsid w:val="000A391A"/>
    <w:rsid w:val="000B645A"/>
    <w:rsid w:val="000B6E04"/>
    <w:rsid w:val="000D26EE"/>
    <w:rsid w:val="000E090D"/>
    <w:rsid w:val="000E2DFD"/>
    <w:rsid w:val="00100260"/>
    <w:rsid w:val="00100F36"/>
    <w:rsid w:val="00103842"/>
    <w:rsid w:val="001064CC"/>
    <w:rsid w:val="00112C8C"/>
    <w:rsid w:val="00115032"/>
    <w:rsid w:val="00131012"/>
    <w:rsid w:val="00133291"/>
    <w:rsid w:val="0013794D"/>
    <w:rsid w:val="00145C4B"/>
    <w:rsid w:val="0014751B"/>
    <w:rsid w:val="001531C3"/>
    <w:rsid w:val="00164FA8"/>
    <w:rsid w:val="00176E95"/>
    <w:rsid w:val="001972DD"/>
    <w:rsid w:val="001A08E3"/>
    <w:rsid w:val="001A0B36"/>
    <w:rsid w:val="001A5CEB"/>
    <w:rsid w:val="001B2540"/>
    <w:rsid w:val="001D400D"/>
    <w:rsid w:val="001D69DA"/>
    <w:rsid w:val="00201AD1"/>
    <w:rsid w:val="00204E24"/>
    <w:rsid w:val="0021597E"/>
    <w:rsid w:val="00226CCE"/>
    <w:rsid w:val="00245489"/>
    <w:rsid w:val="00246330"/>
    <w:rsid w:val="002561CD"/>
    <w:rsid w:val="002657E5"/>
    <w:rsid w:val="002706CD"/>
    <w:rsid w:val="002A4CCA"/>
    <w:rsid w:val="002A7D2D"/>
    <w:rsid w:val="002C2DF2"/>
    <w:rsid w:val="002F2133"/>
    <w:rsid w:val="00311184"/>
    <w:rsid w:val="0031439F"/>
    <w:rsid w:val="00320236"/>
    <w:rsid w:val="00347D79"/>
    <w:rsid w:val="00375107"/>
    <w:rsid w:val="00376D9C"/>
    <w:rsid w:val="00382274"/>
    <w:rsid w:val="0039708E"/>
    <w:rsid w:val="003A35F6"/>
    <w:rsid w:val="003B7ED3"/>
    <w:rsid w:val="003F7BC6"/>
    <w:rsid w:val="003F7F93"/>
    <w:rsid w:val="00400880"/>
    <w:rsid w:val="004264FC"/>
    <w:rsid w:val="00436879"/>
    <w:rsid w:val="004455DC"/>
    <w:rsid w:val="00463E83"/>
    <w:rsid w:val="004651EA"/>
    <w:rsid w:val="00467D6C"/>
    <w:rsid w:val="00476E6D"/>
    <w:rsid w:val="004950DF"/>
    <w:rsid w:val="004A2AA7"/>
    <w:rsid w:val="004A3FA2"/>
    <w:rsid w:val="004A521A"/>
    <w:rsid w:val="004A7D9A"/>
    <w:rsid w:val="004B3CE9"/>
    <w:rsid w:val="004B560E"/>
    <w:rsid w:val="004C348D"/>
    <w:rsid w:val="004E04C6"/>
    <w:rsid w:val="004E2228"/>
    <w:rsid w:val="004E2A40"/>
    <w:rsid w:val="004F74A1"/>
    <w:rsid w:val="005025A9"/>
    <w:rsid w:val="005417A4"/>
    <w:rsid w:val="00547C22"/>
    <w:rsid w:val="00553A71"/>
    <w:rsid w:val="00556703"/>
    <w:rsid w:val="00562BDF"/>
    <w:rsid w:val="00565AAC"/>
    <w:rsid w:val="00576052"/>
    <w:rsid w:val="00580A33"/>
    <w:rsid w:val="00587F5C"/>
    <w:rsid w:val="0059301A"/>
    <w:rsid w:val="005A2B72"/>
    <w:rsid w:val="005A4AE2"/>
    <w:rsid w:val="005C00AB"/>
    <w:rsid w:val="005C7D8F"/>
    <w:rsid w:val="005D5B23"/>
    <w:rsid w:val="005F17AA"/>
    <w:rsid w:val="005F25E8"/>
    <w:rsid w:val="00602248"/>
    <w:rsid w:val="00606CA7"/>
    <w:rsid w:val="006203A0"/>
    <w:rsid w:val="00626D63"/>
    <w:rsid w:val="00642BEF"/>
    <w:rsid w:val="006514B6"/>
    <w:rsid w:val="00665B99"/>
    <w:rsid w:val="006713FA"/>
    <w:rsid w:val="006C1920"/>
    <w:rsid w:val="006C2636"/>
    <w:rsid w:val="006C6DF7"/>
    <w:rsid w:val="006D2E72"/>
    <w:rsid w:val="006D5D9F"/>
    <w:rsid w:val="006F3FC2"/>
    <w:rsid w:val="00703B26"/>
    <w:rsid w:val="00715076"/>
    <w:rsid w:val="007173EE"/>
    <w:rsid w:val="00731794"/>
    <w:rsid w:val="007345BE"/>
    <w:rsid w:val="00745527"/>
    <w:rsid w:val="00747BF0"/>
    <w:rsid w:val="00750EC9"/>
    <w:rsid w:val="00760063"/>
    <w:rsid w:val="0076511D"/>
    <w:rsid w:val="00771F67"/>
    <w:rsid w:val="0077240D"/>
    <w:rsid w:val="0077252B"/>
    <w:rsid w:val="00795736"/>
    <w:rsid w:val="007A2DCF"/>
    <w:rsid w:val="007A6990"/>
    <w:rsid w:val="007B1612"/>
    <w:rsid w:val="007B1713"/>
    <w:rsid w:val="007B7546"/>
    <w:rsid w:val="007C101A"/>
    <w:rsid w:val="007C1966"/>
    <w:rsid w:val="007C39E2"/>
    <w:rsid w:val="007C6FDE"/>
    <w:rsid w:val="007D1E4D"/>
    <w:rsid w:val="007D269A"/>
    <w:rsid w:val="007E06CD"/>
    <w:rsid w:val="007E1A51"/>
    <w:rsid w:val="007E2C47"/>
    <w:rsid w:val="008014B0"/>
    <w:rsid w:val="008027E8"/>
    <w:rsid w:val="00811D6C"/>
    <w:rsid w:val="00850A2D"/>
    <w:rsid w:val="00850CA6"/>
    <w:rsid w:val="00861951"/>
    <w:rsid w:val="00874CED"/>
    <w:rsid w:val="008750DA"/>
    <w:rsid w:val="00876DAB"/>
    <w:rsid w:val="00877009"/>
    <w:rsid w:val="00877ED7"/>
    <w:rsid w:val="008852D3"/>
    <w:rsid w:val="008968C2"/>
    <w:rsid w:val="008A013F"/>
    <w:rsid w:val="008C21F5"/>
    <w:rsid w:val="008C26DF"/>
    <w:rsid w:val="008D0CF2"/>
    <w:rsid w:val="008E5B13"/>
    <w:rsid w:val="00904915"/>
    <w:rsid w:val="00910BBA"/>
    <w:rsid w:val="00913037"/>
    <w:rsid w:val="009138B2"/>
    <w:rsid w:val="0095119A"/>
    <w:rsid w:val="0095693B"/>
    <w:rsid w:val="00976408"/>
    <w:rsid w:val="009771DE"/>
    <w:rsid w:val="00977EAA"/>
    <w:rsid w:val="00986ECC"/>
    <w:rsid w:val="00987D21"/>
    <w:rsid w:val="009A2A41"/>
    <w:rsid w:val="009A74B6"/>
    <w:rsid w:val="009B5367"/>
    <w:rsid w:val="009B6972"/>
    <w:rsid w:val="009C0504"/>
    <w:rsid w:val="009C1FEF"/>
    <w:rsid w:val="009C7547"/>
    <w:rsid w:val="009F09DE"/>
    <w:rsid w:val="00A027BE"/>
    <w:rsid w:val="00A139AB"/>
    <w:rsid w:val="00A21A87"/>
    <w:rsid w:val="00A311F0"/>
    <w:rsid w:val="00A54D66"/>
    <w:rsid w:val="00A65416"/>
    <w:rsid w:val="00A70091"/>
    <w:rsid w:val="00A84CF0"/>
    <w:rsid w:val="00A92526"/>
    <w:rsid w:val="00A976AC"/>
    <w:rsid w:val="00AB75E7"/>
    <w:rsid w:val="00AE5B4F"/>
    <w:rsid w:val="00B07788"/>
    <w:rsid w:val="00B134B4"/>
    <w:rsid w:val="00B155BD"/>
    <w:rsid w:val="00B15CD4"/>
    <w:rsid w:val="00B248D1"/>
    <w:rsid w:val="00B446DA"/>
    <w:rsid w:val="00B626DE"/>
    <w:rsid w:val="00B85B73"/>
    <w:rsid w:val="00B92868"/>
    <w:rsid w:val="00BA2049"/>
    <w:rsid w:val="00BA2CED"/>
    <w:rsid w:val="00BD7D93"/>
    <w:rsid w:val="00BE0D9C"/>
    <w:rsid w:val="00BE6C52"/>
    <w:rsid w:val="00BF5D5D"/>
    <w:rsid w:val="00C051D1"/>
    <w:rsid w:val="00C11F7E"/>
    <w:rsid w:val="00C26595"/>
    <w:rsid w:val="00C37864"/>
    <w:rsid w:val="00C444B5"/>
    <w:rsid w:val="00C51FAD"/>
    <w:rsid w:val="00C55752"/>
    <w:rsid w:val="00C5726E"/>
    <w:rsid w:val="00C649EB"/>
    <w:rsid w:val="00C740EE"/>
    <w:rsid w:val="00C90D8B"/>
    <w:rsid w:val="00CA2F64"/>
    <w:rsid w:val="00CA77BB"/>
    <w:rsid w:val="00CC13E6"/>
    <w:rsid w:val="00CD2CA2"/>
    <w:rsid w:val="00CD5358"/>
    <w:rsid w:val="00CE5B07"/>
    <w:rsid w:val="00CF5DE4"/>
    <w:rsid w:val="00D000B9"/>
    <w:rsid w:val="00D110A0"/>
    <w:rsid w:val="00D15F2F"/>
    <w:rsid w:val="00D21B4B"/>
    <w:rsid w:val="00D247EF"/>
    <w:rsid w:val="00D33601"/>
    <w:rsid w:val="00D426BE"/>
    <w:rsid w:val="00D578C2"/>
    <w:rsid w:val="00D57BD7"/>
    <w:rsid w:val="00D776F4"/>
    <w:rsid w:val="00D86A0C"/>
    <w:rsid w:val="00D971C9"/>
    <w:rsid w:val="00DB0476"/>
    <w:rsid w:val="00DB096F"/>
    <w:rsid w:val="00DB7B7D"/>
    <w:rsid w:val="00DC0220"/>
    <w:rsid w:val="00DD65C6"/>
    <w:rsid w:val="00DD66B8"/>
    <w:rsid w:val="00DE6BCD"/>
    <w:rsid w:val="00DF405A"/>
    <w:rsid w:val="00DF6BF6"/>
    <w:rsid w:val="00E0714D"/>
    <w:rsid w:val="00E51989"/>
    <w:rsid w:val="00E62E63"/>
    <w:rsid w:val="00E6532A"/>
    <w:rsid w:val="00E66283"/>
    <w:rsid w:val="00E67A30"/>
    <w:rsid w:val="00E71A8C"/>
    <w:rsid w:val="00E75807"/>
    <w:rsid w:val="00EB6DD3"/>
    <w:rsid w:val="00ED6A03"/>
    <w:rsid w:val="00EE07C1"/>
    <w:rsid w:val="00EE1107"/>
    <w:rsid w:val="00EE588F"/>
    <w:rsid w:val="00F16A0B"/>
    <w:rsid w:val="00F31F29"/>
    <w:rsid w:val="00F32041"/>
    <w:rsid w:val="00F32658"/>
    <w:rsid w:val="00F34CD0"/>
    <w:rsid w:val="00F3528A"/>
    <w:rsid w:val="00F51340"/>
    <w:rsid w:val="00F6683B"/>
    <w:rsid w:val="00F66911"/>
    <w:rsid w:val="00F9713E"/>
    <w:rsid w:val="00FA5DAA"/>
    <w:rsid w:val="00FB3808"/>
    <w:rsid w:val="00FB544C"/>
    <w:rsid w:val="00FB5C80"/>
    <w:rsid w:val="00FB654E"/>
    <w:rsid w:val="00FB73D8"/>
    <w:rsid w:val="00FC6B06"/>
    <w:rsid w:val="00FE0868"/>
    <w:rsid w:val="00FF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25259246"/>
  <w15:docId w15:val="{83DF85F4-0735-45B7-9712-426BA3BEC837}"/>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kern w:val="2"/>
        <w:sz w:val="21"/>
        <w:szCs w:val="22"/>
        <w:lang w:val="en-US" w:eastAsia="zh-CN"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703B26"/>
    <w:pPr>
      <w:widowControl w:val="false"/>
      <w:adjustRightInd w:val="false"/>
      <w:spacing w:line="312" w:lineRule="atLeast"/>
      <w:ind w:right="28"/>
      <w:jc w:val="both"/>
    </w:pPr>
    <w:rPr>
      <w:rFonts w:ascii="Times New Roman" w:hAnsi="Times New Roman" w:eastAsia="仿宋_GB2312" w:cs="Times New Roman"/>
      <w:kern w:val="0"/>
      <w:szCs w:val="20"/>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Body Text"/>
    <w:basedOn w:val="a"/>
    <w:link w:val="a4"/>
    <w:unhideWhenUsed/>
    <w:qFormat/>
    <w:rsid w:val="00703B26"/>
    <w:pPr>
      <w:spacing w:after="120"/>
    </w:pPr>
  </w:style>
  <w:style w:type="character" w:styleId="a4" w:customStyle="true">
    <w:name w:val="正文文本 字符"/>
    <w:basedOn w:val="a0"/>
    <w:link w:val="a3"/>
    <w:qFormat/>
    <w:rsid w:val="00703B26"/>
    <w:rPr>
      <w:rFonts w:ascii="Times New Roman" w:hAnsi="Times New Roman" w:eastAsia="仿宋_GB2312" w:cs="Times New Roman"/>
      <w:kern w:val="0"/>
      <w:szCs w:val="20"/>
    </w:rPr>
  </w:style>
  <w:style w:type="paragraph" w:styleId="a5">
    <w:name w:val="Balloon Text"/>
    <w:basedOn w:val="a"/>
    <w:link w:val="a6"/>
    <w:uiPriority w:val="99"/>
    <w:semiHidden/>
    <w:unhideWhenUsed/>
    <w:rsid w:val="00703B26"/>
    <w:pPr>
      <w:spacing w:line="240" w:lineRule="auto"/>
    </w:pPr>
    <w:rPr>
      <w:sz w:val="18"/>
      <w:szCs w:val="18"/>
    </w:rPr>
  </w:style>
  <w:style w:type="character" w:styleId="a6" w:customStyle="true">
    <w:name w:val="批注框文本 字符"/>
    <w:basedOn w:val="a0"/>
    <w:link w:val="a5"/>
    <w:uiPriority w:val="99"/>
    <w:semiHidden/>
    <w:rsid w:val="00703B26"/>
    <w:rPr>
      <w:rFonts w:ascii="Times New Roman" w:hAnsi="Times New Roman" w:eastAsia="仿宋_GB2312" w:cs="Times New Roman"/>
      <w:kern w:val="0"/>
      <w:sz w:val="18"/>
      <w:szCs w:val="18"/>
    </w:rPr>
  </w:style>
  <w:style w:type="character" w:styleId="a7">
    <w:name w:val="annotation reference"/>
    <w:basedOn w:val="a0"/>
    <w:uiPriority w:val="99"/>
    <w:semiHidden/>
    <w:unhideWhenUsed/>
    <w:rsid w:val="00034564"/>
    <w:rPr>
      <w:sz w:val="21"/>
      <w:szCs w:val="21"/>
    </w:rPr>
  </w:style>
  <w:style w:type="paragraph" w:styleId="a8">
    <w:name w:val="annotation text"/>
    <w:basedOn w:val="a"/>
    <w:link w:val="a9"/>
    <w:uiPriority w:val="99"/>
    <w:unhideWhenUsed/>
    <w:rsid w:val="00034564"/>
    <w:pPr>
      <w:jc w:val="left"/>
    </w:pPr>
  </w:style>
  <w:style w:type="character" w:styleId="a9" w:customStyle="true">
    <w:name w:val="批注文字 字符"/>
    <w:basedOn w:val="a0"/>
    <w:link w:val="a8"/>
    <w:uiPriority w:val="99"/>
    <w:rsid w:val="00034564"/>
    <w:rPr>
      <w:rFonts w:ascii="Times New Roman" w:hAnsi="Times New Roman" w:eastAsia="仿宋_GB2312" w:cs="Times New Roman"/>
      <w:kern w:val="0"/>
      <w:szCs w:val="20"/>
    </w:rPr>
  </w:style>
  <w:style w:type="paragraph" w:styleId="aa">
    <w:name w:val="annotation subject"/>
    <w:basedOn w:val="a8"/>
    <w:next w:val="a8"/>
    <w:link w:val="ab"/>
    <w:uiPriority w:val="99"/>
    <w:semiHidden/>
    <w:unhideWhenUsed/>
    <w:rsid w:val="00034564"/>
    <w:rPr>
      <w:b/>
      <w:bCs/>
    </w:rPr>
  </w:style>
  <w:style w:type="character" w:styleId="ab" w:customStyle="true">
    <w:name w:val="批注主题 字符"/>
    <w:basedOn w:val="a9"/>
    <w:link w:val="aa"/>
    <w:uiPriority w:val="99"/>
    <w:semiHidden/>
    <w:rsid w:val="00034564"/>
    <w:rPr>
      <w:rFonts w:ascii="Times New Roman" w:hAnsi="Times New Roman" w:eastAsia="仿宋_GB2312" w:cs="Times New Roman"/>
      <w:b/>
      <w:bCs/>
      <w:kern w:val="0"/>
      <w:szCs w:val="20"/>
    </w:rPr>
  </w:style>
  <w:style w:type="paragraph" w:styleId="ac">
    <w:name w:val="header"/>
    <w:basedOn w:val="a"/>
    <w:link w:val="ad"/>
    <w:uiPriority w:val="99"/>
    <w:unhideWhenUsed/>
    <w:rsid w:val="008968C2"/>
    <w:pPr>
      <w:pBdr>
        <w:bottom w:val="single" w:color="auto" w:sz="6" w:space="1"/>
      </w:pBdr>
      <w:tabs>
        <w:tab w:val="center" w:pos="4153"/>
        <w:tab w:val="right" w:pos="8306"/>
      </w:tabs>
      <w:snapToGrid w:val="false"/>
      <w:spacing w:line="240" w:lineRule="atLeast"/>
      <w:jc w:val="center"/>
    </w:pPr>
    <w:rPr>
      <w:sz w:val="18"/>
      <w:szCs w:val="18"/>
    </w:rPr>
  </w:style>
  <w:style w:type="character" w:styleId="ad" w:customStyle="true">
    <w:name w:val="页眉 字符"/>
    <w:basedOn w:val="a0"/>
    <w:link w:val="ac"/>
    <w:uiPriority w:val="99"/>
    <w:rsid w:val="008968C2"/>
    <w:rPr>
      <w:rFonts w:ascii="Times New Roman" w:hAnsi="Times New Roman" w:eastAsia="仿宋_GB2312" w:cs="Times New Roman"/>
      <w:kern w:val="0"/>
      <w:sz w:val="18"/>
      <w:szCs w:val="18"/>
    </w:rPr>
  </w:style>
  <w:style w:type="paragraph" w:styleId="ae">
    <w:name w:val="footer"/>
    <w:basedOn w:val="a"/>
    <w:link w:val="af"/>
    <w:uiPriority w:val="99"/>
    <w:unhideWhenUsed/>
    <w:qFormat/>
    <w:rsid w:val="008968C2"/>
    <w:pPr>
      <w:tabs>
        <w:tab w:val="center" w:pos="4153"/>
        <w:tab w:val="right" w:pos="8306"/>
      </w:tabs>
      <w:snapToGrid w:val="false"/>
      <w:spacing w:line="240" w:lineRule="atLeast"/>
      <w:jc w:val="left"/>
    </w:pPr>
    <w:rPr>
      <w:sz w:val="18"/>
      <w:szCs w:val="18"/>
    </w:rPr>
  </w:style>
  <w:style w:type="character" w:styleId="af" w:customStyle="true">
    <w:name w:val="页脚 字符"/>
    <w:basedOn w:val="a0"/>
    <w:link w:val="ae"/>
    <w:uiPriority w:val="99"/>
    <w:qFormat/>
    <w:rsid w:val="008968C2"/>
    <w:rPr>
      <w:rFonts w:ascii="Times New Roman" w:hAnsi="Times New Roman" w:eastAsia="仿宋_GB2312" w:cs="Times New Roman"/>
      <w:kern w:val="0"/>
      <w:sz w:val="18"/>
      <w:szCs w:val="18"/>
    </w:rPr>
  </w:style>
  <w:style w:type="character" w:styleId="3" w:customStyle="true">
    <w:name w:val="样式3"/>
    <w:basedOn w:val="a0"/>
    <w:uiPriority w:val="1"/>
    <w:rsid w:val="00E62E63"/>
    <w:rPr>
      <w:rFonts w:eastAsia="宋体"/>
      <w:b/>
      <w:color w:val="auto"/>
      <w:sz w:val="32"/>
    </w:rPr>
  </w:style>
  <w:style w:type="character" w:styleId="af0">
    <w:name w:val="Placeholder Text"/>
    <w:basedOn w:val="a0"/>
    <w:uiPriority w:val="99"/>
    <w:semiHidden/>
    <w:rsid w:val="00E62E63"/>
    <w:rPr>
      <w:color w:val="808080"/>
    </w:rPr>
  </w:style>
  <w:style w:type="character" w:styleId="1" w:customStyle="true">
    <w:name w:val="样式1"/>
    <w:basedOn w:val="a0"/>
    <w:uiPriority w:val="1"/>
    <w:rsid w:val="00E62E63"/>
    <w:rPr>
      <w:rFonts w:eastAsia="宋体"/>
      <w:b/>
      <w:sz w:val="32"/>
    </w:rPr>
  </w:style>
  <w:style w:type="character" w:styleId="2" w:customStyle="true">
    <w:name w:val="样式2"/>
    <w:basedOn w:val="a0"/>
    <w:uiPriority w:val="1"/>
    <w:rsid w:val="00E62E63"/>
    <w:rPr>
      <w:rFonts w:eastAsia="宋体"/>
      <w:b/>
      <w:sz w:val="21"/>
    </w:rPr>
  </w:style>
  <w:style w:type="character" w:styleId="4" w:customStyle="true">
    <w:name w:val="样式4"/>
    <w:basedOn w:val="a0"/>
    <w:uiPriority w:val="1"/>
    <w:rsid w:val="00044DF1"/>
    <w:rPr>
      <w:rFonts w:eastAsia="宋体"/>
      <w:sz w:val="21"/>
    </w:rPr>
  </w:style>
  <w:style w:type="character" w:styleId="5" w:customStyle="true">
    <w:name w:val="样式5"/>
    <w:basedOn w:val="a0"/>
    <w:uiPriority w:val="1"/>
    <w:rsid w:val="00576052"/>
    <w:rPr>
      <w:rFonts w:eastAsia="宋体"/>
      <w:b/>
      <w:sz w:val="21"/>
    </w:rPr>
  </w:style>
  <w:style w:type="character" w:styleId="6" w:customStyle="true">
    <w:name w:val="样式6"/>
    <w:basedOn w:val="a0"/>
    <w:uiPriority w:val="1"/>
    <w:rsid w:val="00576052"/>
    <w:rPr>
      <w:rFonts w:ascii="Times New Roman" w:hAnsi="Times New Roman" w:eastAsia="宋体"/>
      <w:b/>
      <w:sz w:val="21"/>
    </w:rPr>
  </w:style>
  <w:style w:type="paragraph" w:styleId="af1">
    <w:name w:val="Revision"/>
    <w:hidden/>
    <w:uiPriority w:val="99"/>
    <w:semiHidden/>
    <w:rsid w:val="00AE5B4F"/>
    <w:rPr>
      <w:rFonts w:ascii="Times New Roman" w:hAnsi="Times New Roman" w:eastAsia="仿宋_GB2312" w:cs="Times New Roman"/>
      <w:kern w:val="0"/>
      <w:szCs w:val="20"/>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webSettings.xml" Type="http://schemas.openxmlformats.org/officeDocument/2006/relationships/webSettings" Id="rId3"/><Relationship Target="fontTable.xml" Type="http://schemas.openxmlformats.org/officeDocument/2006/relationships/fontTable" Id="rId7"/><Relationship Target="settings.xml" Type="http://schemas.openxmlformats.org/officeDocument/2006/relationships/settings" Id="rId2"/><Relationship Target="styles.xml" Type="http://schemas.openxmlformats.org/officeDocument/2006/relationships/styles" Id="rId1"/><Relationship Target="footer1.xml" Type="http://schemas.openxmlformats.org/officeDocument/2006/relationships/footer" Id="rId6"/><Relationship Target="endnotes.xml" Type="http://schemas.openxmlformats.org/officeDocument/2006/relationships/endnotes" Id="rId5"/><Relationship Target="footnotes.xml" Type="http://schemas.openxmlformats.org/officeDocument/2006/relationships/footnotes" Id="rId4"/></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1200</properties:Words>
  <properties:Characters>6840</properties:Characters>
  <properties:Lines>57</properties:Lines>
  <properties:Paragraphs>16</properties:Paragraphs>
  <properties:TotalTime>0</properties:TotalTime>
  <properties:ScaleCrop>false</properties:ScaleCrop>
  <properties:LinksUpToDate>false</properties:LinksUpToDate>
  <properties:CharactersWithSpaces>8024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2024-04-11T09:39:00Z</dcterms:created>
  <dc:creator>穆江兰</dc:creator>
  <dc:description/>
  <cp:keywords/>
  <cp:lastModifiedBy>陈海浬(开科唯识)</cp:lastModifiedBy>
  <dcterms:modified xmlns:xsi="http://www.w3.org/2001/XMLSchema-instance" xsi:type="dcterms:W3CDTF">2024-04-11T09:39:00Z</dcterms:modified>
  <cp:revision>2</cp:revision>
  <dc:subject/>
  <dc:title/>
</cp:coreProperties>
</file>