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napToGrid w:val="0"/>
        <w:spacing w:after="0" w:line="240" w:lineRule="auto"/>
        <w:rPr>
          <w:rFonts w:asciiTheme="minorEastAsia" w:hAnsiTheme="minorEastAsia" w:eastAsiaTheme="minorEastAsia"/>
          <w:color w:val="000000"/>
          <w:szCs w:val="21"/>
        </w:rPr>
        <w:sectPr>
          <w:footerReference r:id="rId5" w:type="default"/>
          <w:type w:val="continuous"/>
          <w:pgSz w:w="11920" w:h="16850"/>
          <w:pgMar w:top="1440" w:right="1800" w:bottom="1440" w:left="1800" w:header="720" w:footer="720" w:gutter="0"/>
          <w:cols w:space="720" w:num="1"/>
        </w:sectPr>
      </w:pPr>
    </w:p>
    <w:p>
      <w:pPr>
        <w:pStyle w:val="6"/>
        <w:snapToGrid w:val="0"/>
        <w:spacing w:after="0" w:line="240" w:lineRule="auto"/>
        <w:ind w:right="0"/>
        <w:jc w:val="left"/>
        <w:rPr>
          <w:rFonts w:asciiTheme="minorEastAsia" w:hAnsiTheme="minorEastAsia" w:eastAsiaTheme="minorEastAsia"/>
        </w:rPr>
      </w:pPr>
      <w:r>
        <w:rPr>
          <w:rFonts w:hint="eastAsia" w:asciiTheme="minorEastAsia" w:hAnsiTheme="minorEastAsia" w:eastAsiaTheme="minorEastAsia"/>
        </w:rPr>
        <w:t>产品登记编码：</w:t>
      </w:r>
      <w:r>
        <w:rPr>
          <w:rFonts w:asciiTheme="minorEastAsia" w:hAnsiTheme="minorEastAsia" w:eastAsiaTheme="minorEastAsia"/>
          <w:szCs w:val="21"/>
        </w:rPr>
        <w:t>Z7006923000710</w:t>
      </w:r>
    </w:p>
    <w:p>
      <w:pPr>
        <w:pStyle w:val="6"/>
        <w:spacing w:after="0" w:line="360" w:lineRule="auto"/>
        <w:rPr>
          <w:rFonts w:asciiTheme="minorEastAsia" w:hAnsiTheme="minorEastAsia" w:eastAsiaTheme="minorEastAsia"/>
          <w:szCs w:val="21"/>
        </w:rPr>
      </w:pPr>
    </w:p>
    <w:p>
      <w:pPr>
        <w:pStyle w:val="6"/>
        <w:spacing w:after="0" w:line="360" w:lineRule="auto"/>
        <w:jc w:val="center"/>
        <w:outlineLvl w:val="0"/>
        <w:rPr>
          <w:rFonts w:asciiTheme="minorEastAsia" w:hAnsiTheme="minorEastAsia" w:eastAsiaTheme="minorEastAsia"/>
          <w:b/>
          <w:sz w:val="32"/>
          <w:szCs w:val="32"/>
        </w:rPr>
      </w:pPr>
      <w:r>
        <w:rPr>
          <w:rFonts w:hint="eastAsia" w:asciiTheme="minorEastAsia" w:hAnsiTheme="minorEastAsia" w:eastAsiaTheme="minorEastAsia"/>
          <w:b/>
          <w:sz w:val="32"/>
          <w:szCs w:val="32"/>
        </w:rPr>
        <w:t>浦银理财天添利现金宝39号理财产品</w:t>
      </w:r>
      <w:r>
        <w:rPr>
          <w:rFonts w:asciiTheme="minorEastAsia" w:hAnsiTheme="minorEastAsia" w:eastAsiaTheme="minorEastAsia"/>
          <w:b/>
          <w:sz w:val="32"/>
          <w:szCs w:val="32"/>
        </w:rPr>
        <w:t>说明书</w:t>
      </w:r>
    </w:p>
    <w:p>
      <w:pPr>
        <w:pStyle w:val="6"/>
        <w:spacing w:after="0" w:line="360" w:lineRule="auto"/>
        <w:jc w:val="center"/>
        <w:rPr>
          <w:rFonts w:asciiTheme="minorEastAsia" w:hAnsiTheme="minorEastAsia" w:eastAsiaTheme="minorEastAsia"/>
          <w:b/>
          <w:sz w:val="22"/>
          <w:szCs w:val="21"/>
        </w:rPr>
      </w:pPr>
      <w:r>
        <w:rPr>
          <w:rFonts w:hint="eastAsia" w:asciiTheme="minorEastAsia" w:hAnsiTheme="minorEastAsia" w:eastAsiaTheme="minorEastAsia"/>
          <w:b/>
          <w:sz w:val="22"/>
          <w:szCs w:val="21"/>
        </w:rPr>
        <w:t>理财非存款、产品有风险、投资须谨慎</w:t>
      </w:r>
    </w:p>
    <w:p>
      <w:pPr>
        <w:pStyle w:val="6"/>
        <w:spacing w:before="240" w:beforeLines="100" w:after="0" w:line="360" w:lineRule="auto"/>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重要须知</w:t>
      </w:r>
    </w:p>
    <w:p>
      <w:pPr>
        <w:spacing w:before="120" w:beforeLines="50" w:after="120" w:afterLines="50" w:line="300" w:lineRule="auto"/>
        <w:ind w:right="2" w:rightChars="1" w:firstLine="482"/>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本理财</w:t>
      </w:r>
      <w:r>
        <w:rPr>
          <w:rFonts w:hint="eastAsia" w:asciiTheme="minorEastAsia" w:hAnsiTheme="minorEastAsia" w:eastAsiaTheme="minorEastAsia"/>
          <w:b/>
          <w:szCs w:val="21"/>
        </w:rPr>
        <w:t>产品的《投资协议书》、</w:t>
      </w:r>
      <w:r>
        <w:rPr>
          <w:rFonts w:asciiTheme="minorEastAsia" w:hAnsiTheme="minorEastAsia" w:eastAsiaTheme="minorEastAsia"/>
          <w:b/>
          <w:szCs w:val="21"/>
        </w:rPr>
        <w:t>《</w:t>
      </w:r>
      <w:r>
        <w:rPr>
          <w:rFonts w:hint="eastAsia" w:asciiTheme="minorEastAsia" w:hAnsiTheme="minorEastAsia" w:eastAsiaTheme="minorEastAsia"/>
          <w:b/>
          <w:szCs w:val="21"/>
        </w:rPr>
        <w:t>销售（代理销售）协议书》、</w:t>
      </w:r>
      <w:r>
        <w:rPr>
          <w:rFonts w:asciiTheme="minorEastAsia" w:hAnsiTheme="minorEastAsia" w:eastAsiaTheme="minorEastAsia"/>
          <w:b/>
          <w:szCs w:val="21"/>
        </w:rPr>
        <w:t>《产品说明书》</w:t>
      </w:r>
      <w:r>
        <w:rPr>
          <w:rFonts w:hint="eastAsia" w:asciiTheme="minorEastAsia" w:hAnsiTheme="minorEastAsia" w:eastAsiaTheme="minorEastAsia"/>
          <w:b/>
          <w:szCs w:val="21"/>
        </w:rPr>
        <w:t>、</w:t>
      </w:r>
      <w:r>
        <w:rPr>
          <w:rFonts w:asciiTheme="minorEastAsia" w:hAnsiTheme="minorEastAsia" w:eastAsiaTheme="minorEastAsia"/>
          <w:b/>
          <w:szCs w:val="21"/>
        </w:rPr>
        <w:t>《风险揭示书》、《投资者权益须知》</w:t>
      </w:r>
      <w:r>
        <w:rPr>
          <w:rFonts w:hint="eastAsia" w:asciiTheme="minorEastAsia" w:hAnsiTheme="minorEastAsia" w:eastAsiaTheme="minorEastAsia"/>
          <w:b/>
          <w:szCs w:val="21"/>
        </w:rPr>
        <w:t>等文件及其不时有效修订与补充</w:t>
      </w:r>
      <w:r>
        <w:rPr>
          <w:rFonts w:asciiTheme="minorEastAsia" w:hAnsiTheme="minorEastAsia" w:eastAsiaTheme="minorEastAsia"/>
          <w:b/>
          <w:szCs w:val="21"/>
        </w:rPr>
        <w:t>共同组成</w:t>
      </w:r>
      <w:r>
        <w:rPr>
          <w:rFonts w:hint="eastAsia" w:asciiTheme="minorEastAsia" w:hAnsiTheme="minorEastAsia" w:eastAsiaTheme="minorEastAsia"/>
          <w:b/>
          <w:szCs w:val="21"/>
        </w:rPr>
        <w:t>理财产品销售文件（以下统称“本理财产品销售文件”）</w:t>
      </w:r>
      <w:r>
        <w:rPr>
          <w:rFonts w:asciiTheme="minorEastAsia" w:hAnsiTheme="minorEastAsia" w:eastAsiaTheme="minorEastAsia"/>
          <w:b/>
          <w:szCs w:val="21"/>
        </w:rPr>
        <w:t>。在购买本</w:t>
      </w:r>
      <w:r>
        <w:rPr>
          <w:rFonts w:hint="eastAsia" w:asciiTheme="minorEastAsia" w:hAnsiTheme="minorEastAsia" w:eastAsiaTheme="minorEastAsia"/>
          <w:b/>
          <w:szCs w:val="21"/>
        </w:rPr>
        <w:t>理财产品</w:t>
      </w:r>
      <w:r>
        <w:rPr>
          <w:rFonts w:asciiTheme="minorEastAsia" w:hAnsiTheme="minorEastAsia" w:eastAsiaTheme="minorEastAsia"/>
          <w:b/>
          <w:szCs w:val="21"/>
        </w:rPr>
        <w:t>前，投资者</w:t>
      </w:r>
      <w:r>
        <w:rPr>
          <w:rFonts w:hint="eastAsia" w:asciiTheme="minorEastAsia" w:hAnsiTheme="minorEastAsia" w:eastAsiaTheme="minorEastAsia"/>
          <w:b/>
          <w:szCs w:val="21"/>
        </w:rPr>
        <w:t>应</w:t>
      </w:r>
      <w:r>
        <w:rPr>
          <w:rFonts w:asciiTheme="minorEastAsia" w:hAnsiTheme="minorEastAsia" w:eastAsiaTheme="minorEastAsia"/>
          <w:b/>
          <w:szCs w:val="21"/>
        </w:rPr>
        <w:t>仔细阅读本理财产品</w:t>
      </w:r>
      <w:r>
        <w:rPr>
          <w:rFonts w:hint="eastAsia" w:asciiTheme="minorEastAsia" w:hAnsiTheme="minorEastAsia" w:eastAsiaTheme="minorEastAsia"/>
          <w:b/>
          <w:szCs w:val="21"/>
        </w:rPr>
        <w:t>销售文件的各项条款，</w:t>
      </w:r>
      <w:r>
        <w:rPr>
          <w:rFonts w:asciiTheme="minorEastAsia" w:hAnsiTheme="minorEastAsia" w:eastAsiaTheme="minorEastAsia"/>
          <w:b/>
          <w:szCs w:val="21"/>
        </w:rPr>
        <w:t>确保自己详细了解和审慎评估本理财产品的投资方向、风险类型，完全理解该项投资的性质和所涉及的风险，并充分、慎重考虑自身的风险承受能力</w:t>
      </w:r>
      <w:r>
        <w:rPr>
          <w:rFonts w:hint="eastAsia" w:asciiTheme="minorEastAsia" w:hAnsiTheme="minorEastAsia" w:eastAsiaTheme="minorEastAsia"/>
          <w:b/>
          <w:szCs w:val="21"/>
        </w:rPr>
        <w:t xml:space="preserve">。 </w:t>
      </w:r>
    </w:p>
    <w:p>
      <w:pPr>
        <w:spacing w:before="120" w:beforeLines="50" w:after="120" w:afterLines="50" w:line="300" w:lineRule="auto"/>
        <w:ind w:right="2" w:rightChars="1" w:firstLine="482"/>
        <w:rPr>
          <w:rFonts w:asciiTheme="minorEastAsia" w:hAnsiTheme="minorEastAsia" w:eastAsiaTheme="minorEastAsia"/>
          <w:b/>
          <w:szCs w:val="21"/>
        </w:rPr>
      </w:pPr>
      <w:r>
        <w:rPr>
          <w:rFonts w:hint="eastAsia" w:asciiTheme="minorEastAsia" w:hAnsiTheme="minorEastAsia" w:eastAsiaTheme="minorEastAsia"/>
          <w:b/>
          <w:szCs w:val="21"/>
        </w:rPr>
        <w:t>★本理财产品《产品说明书》与《风险揭示书》、《投资协议书》共同组成投资者与管理人之间理财产品合同的不可分割之组成部分。</w:t>
      </w:r>
    </w:p>
    <w:p>
      <w:pPr>
        <w:spacing w:before="120" w:beforeLines="50" w:after="120" w:afterLines="50" w:line="300" w:lineRule="auto"/>
        <w:ind w:right="2" w:rightChars="1" w:firstLine="482"/>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管理人承诺以诚实信用、勤勉尽责的原则，并根据本《产品说明书》要求管理和运用</w:t>
      </w:r>
      <w:r>
        <w:rPr>
          <w:rFonts w:hint="eastAsia" w:asciiTheme="minorEastAsia" w:hAnsiTheme="minorEastAsia" w:eastAsiaTheme="minorEastAsia"/>
          <w:b/>
          <w:szCs w:val="21"/>
        </w:rPr>
        <w:t>理财产品</w:t>
      </w:r>
      <w:r>
        <w:rPr>
          <w:rFonts w:asciiTheme="minorEastAsia" w:hAnsiTheme="minorEastAsia" w:eastAsiaTheme="minorEastAsia"/>
          <w:b/>
          <w:szCs w:val="21"/>
        </w:rPr>
        <w:t>资产</w:t>
      </w:r>
      <w:r>
        <w:rPr>
          <w:rFonts w:hint="eastAsia" w:asciiTheme="minorEastAsia" w:hAnsiTheme="minorEastAsia" w:eastAsiaTheme="minorEastAsia"/>
          <w:b/>
          <w:szCs w:val="21"/>
        </w:rPr>
        <w:t>，</w:t>
      </w:r>
      <w:r>
        <w:rPr>
          <w:rFonts w:asciiTheme="minorEastAsia" w:hAnsiTheme="minorEastAsia" w:eastAsiaTheme="minorEastAsia"/>
          <w:b/>
          <w:szCs w:val="21"/>
        </w:rPr>
        <w:t>但管理人不保证本理财产品一定盈利，也不保证最低收益，理财非存款、产品有风险、投资须谨慎。</w:t>
      </w:r>
    </w:p>
    <w:p>
      <w:pPr>
        <w:spacing w:before="120" w:beforeLines="50" w:after="120" w:afterLines="50" w:line="300" w:lineRule="auto"/>
        <w:ind w:right="2" w:rightChars="1" w:firstLine="482"/>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理财产品过往业绩不代表其未来表现，不等于理财产品实际收益</w:t>
      </w:r>
      <w:r>
        <w:rPr>
          <w:rFonts w:hint="eastAsia" w:asciiTheme="minorEastAsia" w:hAnsiTheme="minorEastAsia" w:eastAsiaTheme="minorEastAsia"/>
          <w:b/>
          <w:szCs w:val="21"/>
        </w:rPr>
        <w:t>，</w:t>
      </w:r>
      <w:r>
        <w:rPr>
          <w:rFonts w:asciiTheme="minorEastAsia" w:hAnsiTheme="minorEastAsia" w:eastAsiaTheme="minorEastAsia"/>
          <w:b/>
          <w:szCs w:val="21"/>
        </w:rPr>
        <w:t>任何业绩比较基准或类似表述不代表投资者可能获得的实际收益，</w:t>
      </w:r>
      <w:r>
        <w:rPr>
          <w:rFonts w:hint="eastAsia" w:asciiTheme="minorEastAsia" w:hAnsiTheme="minorEastAsia" w:eastAsiaTheme="minorEastAsia"/>
          <w:b/>
          <w:szCs w:val="21"/>
        </w:rPr>
        <w:t>业绩比较基准系管理人根据产品投资安排，以所投资产正常回收、兑付为假设前提，对本产品资产管理投资收益所设定的目标，</w:t>
      </w:r>
      <w:r>
        <w:rPr>
          <w:rFonts w:asciiTheme="minorEastAsia" w:hAnsiTheme="minorEastAsia" w:eastAsiaTheme="minorEastAsia"/>
          <w:b/>
          <w:szCs w:val="21"/>
        </w:rPr>
        <w:t>不构成管理人对本理财产品的任何收益承诺。</w:t>
      </w:r>
    </w:p>
    <w:p>
      <w:pPr>
        <w:spacing w:before="120" w:beforeLines="50" w:after="120" w:afterLines="50" w:line="300" w:lineRule="auto"/>
        <w:ind w:right="2" w:rightChars="1" w:firstLine="482"/>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本理财</w:t>
      </w:r>
      <w:r>
        <w:rPr>
          <w:rFonts w:hint="eastAsia" w:asciiTheme="minorEastAsia" w:hAnsiTheme="minorEastAsia" w:eastAsiaTheme="minorEastAsia"/>
          <w:b/>
          <w:szCs w:val="21"/>
        </w:rPr>
        <w:t>产品</w:t>
      </w:r>
      <w:r>
        <w:rPr>
          <w:rFonts w:asciiTheme="minorEastAsia" w:hAnsiTheme="minorEastAsia" w:eastAsiaTheme="minorEastAsia"/>
          <w:b/>
          <w:szCs w:val="21"/>
        </w:rPr>
        <w:t>仅向依据法律法规</w:t>
      </w:r>
      <w:r>
        <w:rPr>
          <w:rFonts w:hint="eastAsia" w:asciiTheme="minorEastAsia" w:hAnsiTheme="minorEastAsia" w:eastAsiaTheme="minorEastAsia"/>
          <w:b/>
          <w:szCs w:val="21"/>
        </w:rPr>
        <w:t>、监管规定</w:t>
      </w:r>
      <w:r>
        <w:rPr>
          <w:rFonts w:asciiTheme="minorEastAsia" w:hAnsiTheme="minorEastAsia" w:eastAsiaTheme="minorEastAsia"/>
          <w:b/>
          <w:szCs w:val="21"/>
        </w:rPr>
        <w:t>及本</w:t>
      </w:r>
      <w:r>
        <w:rPr>
          <w:rFonts w:hint="eastAsia" w:asciiTheme="minorEastAsia" w:hAnsiTheme="minorEastAsia" w:eastAsiaTheme="minorEastAsia"/>
          <w:b/>
          <w:szCs w:val="21"/>
        </w:rPr>
        <w:t>《</w:t>
      </w:r>
      <w:r>
        <w:rPr>
          <w:rFonts w:asciiTheme="minorEastAsia" w:hAnsiTheme="minorEastAsia" w:eastAsiaTheme="minorEastAsia"/>
          <w:b/>
          <w:szCs w:val="21"/>
        </w:rPr>
        <w:t>产品说明书</w:t>
      </w:r>
      <w:r>
        <w:rPr>
          <w:rFonts w:hint="eastAsia" w:asciiTheme="minorEastAsia" w:hAnsiTheme="minorEastAsia" w:eastAsiaTheme="minorEastAsia"/>
          <w:b/>
          <w:szCs w:val="21"/>
        </w:rPr>
        <w:t>》约定</w:t>
      </w:r>
      <w:r>
        <w:rPr>
          <w:rFonts w:asciiTheme="minorEastAsia" w:hAnsiTheme="minorEastAsia" w:eastAsiaTheme="minorEastAsia"/>
          <w:b/>
          <w:szCs w:val="21"/>
        </w:rPr>
        <w:t>可以购买本</w:t>
      </w:r>
      <w:r>
        <w:rPr>
          <w:rFonts w:hint="eastAsia" w:asciiTheme="minorEastAsia" w:hAnsiTheme="minorEastAsia" w:eastAsiaTheme="minorEastAsia"/>
          <w:b/>
          <w:szCs w:val="21"/>
        </w:rPr>
        <w:t>理财产品</w:t>
      </w:r>
      <w:r>
        <w:rPr>
          <w:rFonts w:asciiTheme="minorEastAsia" w:hAnsiTheme="minorEastAsia" w:eastAsiaTheme="minorEastAsia"/>
          <w:b/>
          <w:szCs w:val="21"/>
        </w:rPr>
        <w:t>的投资者发售。</w:t>
      </w:r>
    </w:p>
    <w:p>
      <w:pPr>
        <w:spacing w:before="120" w:beforeLines="50" w:after="120" w:afterLines="50" w:line="300" w:lineRule="auto"/>
        <w:ind w:right="2" w:rightChars="1" w:firstLine="482"/>
        <w:rPr>
          <w:rFonts w:asciiTheme="minorEastAsia" w:hAnsiTheme="minorEastAsia" w:eastAsiaTheme="minorEastAsia"/>
          <w:b/>
          <w:szCs w:val="21"/>
        </w:rPr>
      </w:pPr>
      <w:r>
        <w:rPr>
          <w:rFonts w:hint="eastAsia" w:asciiTheme="minorEastAsia" w:hAnsiTheme="minorEastAsia" w:eastAsiaTheme="minorEastAsia"/>
          <w:b/>
          <w:szCs w:val="21"/>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机构以及管理人开展客户身份识别及尽职调查等反洗钱活动，及时、真实、准确、完整提供身份信息及资金来源等信息。投资者承诺依照可适用的法律法规投资本理财产品，如销售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者、重要被投资者、重要债权人、被控制实体等”。</w:t>
      </w:r>
    </w:p>
    <w:p>
      <w:pPr>
        <w:spacing w:before="120" w:beforeLines="50" w:after="120" w:afterLines="50" w:line="300" w:lineRule="auto"/>
        <w:ind w:right="2" w:rightChars="1" w:firstLine="482"/>
        <w:rPr>
          <w:rFonts w:asciiTheme="minorEastAsia" w:hAnsiTheme="minorEastAsia" w:eastAsiaTheme="minorEastAsia"/>
          <w:b/>
          <w:szCs w:val="21"/>
        </w:rPr>
      </w:pPr>
      <w:r>
        <w:rPr>
          <w:rFonts w:hint="eastAsia" w:asciiTheme="minorEastAsia" w:hAnsiTheme="minorEastAsia" w:eastAsiaTheme="minorEastAsia"/>
          <w:b/>
          <w:szCs w:val="21"/>
        </w:rPr>
        <w:t>★投资者在此同意并授权，产品管理人可根据监管规定要求，为理财产品登记、反洗钱、反恐怖融资及非居民金融账户涉税信息尽职调查等需要，向登记部门或监管机构提供投资者相关信息，或应理财投资合作机构基于监管报送申请，</w:t>
      </w:r>
      <w:r>
        <w:rPr>
          <w:rFonts w:asciiTheme="minorEastAsia" w:hAnsiTheme="minorEastAsia" w:eastAsiaTheme="minorEastAsia"/>
          <w:b/>
          <w:szCs w:val="21"/>
        </w:rPr>
        <w:t>在必要范围内向</w:t>
      </w:r>
      <w:r>
        <w:rPr>
          <w:rFonts w:hint="eastAsia" w:asciiTheme="minorEastAsia" w:hAnsiTheme="minorEastAsia" w:eastAsiaTheme="minorEastAsia"/>
          <w:b/>
          <w:szCs w:val="21"/>
        </w:rPr>
        <w:t>其提供投资者身份信息、持仓情况等</w:t>
      </w:r>
      <w:r>
        <w:rPr>
          <w:rFonts w:asciiTheme="minorEastAsia" w:hAnsiTheme="minorEastAsia" w:eastAsiaTheme="minorEastAsia"/>
          <w:b/>
          <w:szCs w:val="21"/>
        </w:rPr>
        <w:t>相关信息，</w:t>
      </w:r>
      <w:r>
        <w:rPr>
          <w:rFonts w:hint="eastAsia" w:asciiTheme="minorEastAsia" w:hAnsiTheme="minorEastAsia" w:eastAsiaTheme="minorEastAsia"/>
          <w:b/>
          <w:szCs w:val="21"/>
        </w:rPr>
        <w:t>并要求其履行投资者信息保密义务。</w:t>
      </w:r>
      <w:r>
        <w:rPr>
          <w:rFonts w:asciiTheme="minorEastAsia" w:hAnsiTheme="minorEastAsia" w:eastAsiaTheme="minorEastAsia"/>
          <w:b/>
          <w:szCs w:val="21"/>
        </w:rPr>
        <w:t>投资者签署本理财产品销售文件即视为已经</w:t>
      </w:r>
      <w:r>
        <w:rPr>
          <w:rFonts w:hint="eastAsia" w:asciiTheme="minorEastAsia" w:hAnsiTheme="minorEastAsia" w:eastAsiaTheme="minorEastAsia"/>
          <w:b/>
          <w:szCs w:val="21"/>
        </w:rPr>
        <w:t>知悉并</w:t>
      </w:r>
      <w:r>
        <w:rPr>
          <w:rFonts w:asciiTheme="minorEastAsia" w:hAnsiTheme="minorEastAsia" w:eastAsiaTheme="minorEastAsia"/>
          <w:b/>
          <w:szCs w:val="21"/>
        </w:rPr>
        <w:t>同意管理人</w:t>
      </w:r>
      <w:r>
        <w:rPr>
          <w:rFonts w:hint="eastAsia" w:asciiTheme="minorEastAsia" w:hAnsiTheme="minorEastAsia" w:eastAsiaTheme="minorEastAsia"/>
          <w:b/>
          <w:szCs w:val="21"/>
        </w:rPr>
        <w:t>按前述约定提供信息</w:t>
      </w:r>
      <w:r>
        <w:rPr>
          <w:rFonts w:asciiTheme="minorEastAsia" w:hAnsiTheme="minorEastAsia" w:eastAsiaTheme="minorEastAsia"/>
          <w:b/>
          <w:szCs w:val="21"/>
        </w:rPr>
        <w:t>。</w:t>
      </w:r>
    </w:p>
    <w:p>
      <w:pPr>
        <w:snapToGrid w:val="0"/>
        <w:spacing w:before="120" w:beforeLines="50" w:after="120" w:afterLines="50" w:line="300" w:lineRule="auto"/>
        <w:ind w:right="2" w:rightChars="1" w:firstLine="482"/>
        <w:rPr>
          <w:rFonts w:cs="微软雅黑" w:asciiTheme="minorEastAsia" w:hAnsiTheme="minorEastAsia" w:eastAsiaTheme="minorEastAsia"/>
          <w:b/>
          <w:spacing w:val="-5"/>
          <w:szCs w:val="21"/>
        </w:rPr>
      </w:pPr>
      <w:r>
        <w:rPr>
          <w:rFonts w:hint="eastAsia" w:asciiTheme="minorEastAsia" w:hAnsiTheme="minorEastAsia" w:eastAsiaTheme="minorEastAsia"/>
          <w:b/>
          <w:szCs w:val="21"/>
        </w:rPr>
        <w:t>★</w:t>
      </w:r>
      <w:r>
        <w:rPr>
          <w:rFonts w:hint="eastAsia" w:cs="微软雅黑" w:asciiTheme="minorEastAsia" w:hAnsiTheme="minorEastAsia" w:eastAsiaTheme="minorEastAsia"/>
          <w:b/>
          <w:spacing w:val="-5"/>
          <w:szCs w:val="21"/>
        </w:rPr>
        <w:t>在本产品存续期限内，如出于维持本产品正常运营的需要且在不实质损害投资者实质利益的前提下，或因法律法规、监管规定发生变化，管理人有权单方对《产品说明书》进行修订。管理人决定对《产品说明书》进行修订的，将提前通过本理财产品的信息披露渠道发布相关信息公告通知投资者。投资者知悉并同意，修订后的产品说明书对其具有法律约束力。</w:t>
      </w:r>
    </w:p>
    <w:p>
      <w:pPr>
        <w:snapToGrid w:val="0"/>
        <w:spacing w:line="300" w:lineRule="auto"/>
        <w:ind w:right="2" w:rightChars="1" w:firstLine="421" w:firstLineChars="200"/>
        <w:rPr>
          <w:rFonts w:asciiTheme="minorEastAsia" w:hAnsiTheme="minorEastAsia" w:eastAsiaTheme="minorEastAsia"/>
          <w:b/>
          <w:szCs w:val="21"/>
        </w:rPr>
      </w:pPr>
      <w:r>
        <w:rPr>
          <w:rFonts w:hint="eastAsia" w:asciiTheme="minorEastAsia" w:hAnsiTheme="minorEastAsia" w:eastAsiaTheme="minorEastAsia"/>
          <w:b/>
          <w:szCs w:val="21"/>
        </w:rPr>
        <w:t>★产品登记编码是全国银行业理财信息登记系统赋予所有理财产品的标识码，每个登记编码具有唯一性，是投资者判断理财产品是否合法合规、是否真实可靠的重要依据。如投资者购买的理财产品未公示登记编码，或通过其公示的登记编码无法在中国理财网（www.chinawealth.com.cn）上查询到产品相关信息，则该产品非管理人发行产品。</w:t>
      </w:r>
    </w:p>
    <w:p>
      <w:pPr>
        <w:autoSpaceDE w:val="0"/>
        <w:autoSpaceDN w:val="0"/>
        <w:snapToGrid w:val="0"/>
        <w:spacing w:before="120" w:beforeLines="50" w:after="120" w:afterLines="50" w:line="300" w:lineRule="auto"/>
        <w:ind w:right="0" w:firstLine="421"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在购买本</w:t>
      </w:r>
      <w:r>
        <w:rPr>
          <w:rFonts w:hint="eastAsia" w:asciiTheme="minorEastAsia" w:hAnsiTheme="minorEastAsia" w:eastAsiaTheme="minorEastAsia"/>
          <w:b/>
          <w:szCs w:val="21"/>
        </w:rPr>
        <w:t>理财产品</w:t>
      </w:r>
      <w:r>
        <w:rPr>
          <w:rFonts w:asciiTheme="minorEastAsia" w:hAnsiTheme="minorEastAsia" w:eastAsiaTheme="minorEastAsia"/>
          <w:b/>
          <w:szCs w:val="21"/>
        </w:rPr>
        <w:t>后，投资者应关注本</w:t>
      </w:r>
      <w:r>
        <w:rPr>
          <w:rFonts w:hint="eastAsia" w:asciiTheme="minorEastAsia" w:hAnsiTheme="minorEastAsia" w:eastAsiaTheme="minorEastAsia"/>
          <w:b/>
          <w:szCs w:val="21"/>
        </w:rPr>
        <w:t>产品</w:t>
      </w:r>
      <w:r>
        <w:rPr>
          <w:rFonts w:asciiTheme="minorEastAsia" w:hAnsiTheme="minorEastAsia" w:eastAsiaTheme="minorEastAsia"/>
          <w:b/>
          <w:szCs w:val="21"/>
        </w:rPr>
        <w:t>的信息披露情况，及时获取相关信息</w:t>
      </w:r>
      <w:r>
        <w:rPr>
          <w:rFonts w:hint="eastAsia" w:asciiTheme="minorEastAsia" w:hAnsiTheme="minorEastAsia" w:eastAsiaTheme="minorEastAsia"/>
          <w:b/>
          <w:szCs w:val="21"/>
        </w:rPr>
        <w:t>。</w:t>
      </w:r>
    </w:p>
    <w:p>
      <w:pPr>
        <w:autoSpaceDE w:val="0"/>
        <w:autoSpaceDN w:val="0"/>
        <w:snapToGrid w:val="0"/>
        <w:spacing w:before="120" w:beforeLines="50" w:after="120" w:afterLines="50" w:line="300" w:lineRule="auto"/>
        <w:ind w:right="0" w:firstLine="421"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投资者若对本《产品说明书》的内容有任何疑问，请向</w:t>
      </w:r>
      <w:r>
        <w:rPr>
          <w:rFonts w:hint="eastAsia" w:asciiTheme="minorEastAsia" w:hAnsiTheme="minorEastAsia" w:eastAsiaTheme="minorEastAsia"/>
          <w:b/>
          <w:szCs w:val="21"/>
        </w:rPr>
        <w:t>管理人或</w:t>
      </w:r>
      <w:r>
        <w:rPr>
          <w:rFonts w:asciiTheme="minorEastAsia" w:hAnsiTheme="minorEastAsia" w:eastAsiaTheme="minorEastAsia"/>
          <w:b/>
          <w:szCs w:val="21"/>
        </w:rPr>
        <w:t>销售机构咨询。</w:t>
      </w:r>
    </w:p>
    <w:p>
      <w:pPr>
        <w:autoSpaceDE w:val="0"/>
        <w:autoSpaceDN w:val="0"/>
        <w:snapToGrid w:val="0"/>
        <w:spacing w:before="120" w:beforeLines="50" w:after="120" w:afterLines="50" w:line="300" w:lineRule="auto"/>
        <w:ind w:right="0" w:firstLine="421"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管理人有权依法对本《产品说明书》进行解释</w:t>
      </w:r>
      <w:r>
        <w:rPr>
          <w:rFonts w:hint="eastAsia" w:asciiTheme="minorEastAsia" w:hAnsiTheme="minorEastAsia" w:eastAsiaTheme="minorEastAsia"/>
          <w:b/>
          <w:szCs w:val="21"/>
        </w:rPr>
        <w:t>。</w:t>
      </w:r>
    </w:p>
    <w:p>
      <w:pPr>
        <w:spacing w:before="120" w:beforeLines="5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一、释义</w:t>
      </w:r>
    </w:p>
    <w:p>
      <w:pPr>
        <w:spacing w:line="360" w:lineRule="auto"/>
        <w:ind w:right="0" w:firstLine="420" w:firstLineChars="200"/>
        <w:rPr>
          <w:rFonts w:asciiTheme="minorEastAsia" w:hAnsiTheme="minorEastAsia" w:eastAsiaTheme="minorEastAsia"/>
          <w:szCs w:val="21"/>
        </w:rPr>
      </w:pPr>
      <w:r>
        <w:rPr>
          <w:rFonts w:asciiTheme="minorEastAsia" w:hAnsiTheme="minorEastAsia" w:eastAsiaTheme="minorEastAsia"/>
          <w:szCs w:val="21"/>
        </w:rPr>
        <w:t>在本《产品说明书》中，除非上下文另有明确约定，下列用词将具有如下含义：</w:t>
      </w:r>
    </w:p>
    <w:p>
      <w:pPr>
        <w:spacing w:line="360" w:lineRule="auto"/>
        <w:ind w:firstLine="421" w:firstLineChars="200"/>
        <w:rPr>
          <w:rFonts w:asciiTheme="minorEastAsia" w:hAnsiTheme="minorEastAsia" w:eastAsiaTheme="minorEastAsia"/>
          <w:b/>
          <w:szCs w:val="21"/>
        </w:rPr>
      </w:pPr>
      <w:r>
        <w:rPr>
          <w:rFonts w:asciiTheme="minorEastAsia" w:hAnsiTheme="minorEastAsia" w:eastAsiaTheme="minorEastAsia"/>
          <w:b/>
          <w:szCs w:val="21"/>
        </w:rPr>
        <w:t>1.参与主体用语</w:t>
      </w:r>
    </w:p>
    <w:p>
      <w:pPr>
        <w:tabs>
          <w:tab w:val="left" w:pos="675"/>
        </w:tabs>
        <w:spacing w:line="360" w:lineRule="auto"/>
        <w:ind w:firstLine="421" w:firstLineChars="200"/>
        <w:rPr>
          <w:rFonts w:asciiTheme="minorEastAsia" w:hAnsiTheme="minorEastAsia" w:eastAsiaTheme="minorEastAsia"/>
          <w:szCs w:val="21"/>
        </w:rPr>
      </w:pPr>
      <w:r>
        <w:rPr>
          <w:rFonts w:hint="eastAsia" w:cs="微软雅黑" w:asciiTheme="minorEastAsia" w:hAnsiTheme="minorEastAsia" w:eastAsiaTheme="minorEastAsia"/>
          <w:b/>
          <w:szCs w:val="21"/>
        </w:rPr>
        <w:t>（</w:t>
      </w:r>
      <w:r>
        <w:rPr>
          <w:rFonts w:cs="微软雅黑" w:asciiTheme="minorEastAsia" w:hAnsiTheme="minorEastAsia" w:eastAsiaTheme="minorEastAsia"/>
          <w:b/>
          <w:szCs w:val="21"/>
        </w:rPr>
        <w:t>1）</w:t>
      </w:r>
      <w:r>
        <w:rPr>
          <w:rFonts w:hint="eastAsia" w:cs="微软雅黑" w:asciiTheme="minorEastAsia" w:hAnsiTheme="minorEastAsia" w:eastAsiaTheme="minorEastAsia"/>
          <w:b/>
          <w:spacing w:val="-1"/>
          <w:szCs w:val="21"/>
        </w:rPr>
        <w:t>浦</w:t>
      </w:r>
      <w:r>
        <w:rPr>
          <w:rFonts w:hint="eastAsia" w:cs="微软雅黑" w:asciiTheme="minorEastAsia" w:hAnsiTheme="minorEastAsia" w:eastAsiaTheme="minorEastAsia"/>
          <w:b/>
          <w:szCs w:val="21"/>
        </w:rPr>
        <w:t>银理财</w:t>
      </w:r>
      <w:r>
        <w:rPr>
          <w:rFonts w:hint="eastAsia" w:cs="微软雅黑" w:asciiTheme="minorEastAsia" w:hAnsiTheme="minorEastAsia" w:eastAsiaTheme="minorEastAsia"/>
          <w:szCs w:val="21"/>
        </w:rPr>
        <w:t>：</w:t>
      </w:r>
      <w:r>
        <w:rPr>
          <w:rFonts w:hint="eastAsia" w:cs="微软雅黑" w:asciiTheme="minorEastAsia" w:hAnsiTheme="minorEastAsia" w:eastAsiaTheme="minorEastAsia"/>
          <w:spacing w:val="-3"/>
          <w:szCs w:val="21"/>
        </w:rPr>
        <w:t>指</w:t>
      </w:r>
      <w:r>
        <w:rPr>
          <w:rFonts w:hint="eastAsia" w:cs="微软雅黑" w:asciiTheme="minorEastAsia" w:hAnsiTheme="minorEastAsia" w:eastAsiaTheme="minorEastAsia"/>
          <w:spacing w:val="-1"/>
          <w:szCs w:val="21"/>
        </w:rPr>
        <w:t>浦</w:t>
      </w:r>
      <w:r>
        <w:rPr>
          <w:rFonts w:hint="eastAsia" w:cs="微软雅黑" w:asciiTheme="minorEastAsia" w:hAnsiTheme="minorEastAsia" w:eastAsiaTheme="minorEastAsia"/>
          <w:spacing w:val="-3"/>
          <w:szCs w:val="21"/>
        </w:rPr>
        <w:t>银理财有限责任公司。</w:t>
      </w:r>
    </w:p>
    <w:p>
      <w:pPr>
        <w:tabs>
          <w:tab w:val="left" w:pos="675"/>
        </w:tabs>
        <w:spacing w:line="360" w:lineRule="auto"/>
        <w:ind w:firstLine="421" w:firstLineChars="200"/>
        <w:rPr>
          <w:rFonts w:asciiTheme="minorEastAsia" w:hAnsiTheme="minorEastAsia" w:eastAsiaTheme="minorEastAsia"/>
          <w:szCs w:val="21"/>
        </w:rPr>
      </w:pP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2）管理人/产品管理人：</w:t>
      </w:r>
      <w:r>
        <w:rPr>
          <w:rFonts w:hint="eastAsia" w:asciiTheme="minorEastAsia" w:hAnsiTheme="minorEastAsia" w:eastAsiaTheme="minorEastAsia"/>
          <w:color w:val="000000" w:themeColor="text1"/>
          <w:szCs w:val="21"/>
          <w14:textFill>
            <w14:solidFill>
              <w14:schemeClr w14:val="tx1"/>
            </w14:solidFill>
          </w14:textFill>
        </w:rPr>
        <w:t>指浦银理财。</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cs="微软雅黑" w:asciiTheme="minorEastAsia" w:hAnsiTheme="minorEastAsia" w:eastAsiaTheme="minorEastAsia"/>
          <w:b/>
          <w:color w:val="000000" w:themeColor="text1"/>
          <w:szCs w:val="21"/>
          <w14:textFill>
            <w14:solidFill>
              <w14:schemeClr w14:val="tx1"/>
            </w14:solidFill>
          </w14:textFill>
        </w:rPr>
        <w:t>（</w:t>
      </w:r>
      <w:r>
        <w:rPr>
          <w:rFonts w:cs="微软雅黑" w:asciiTheme="minorEastAsia" w:hAnsiTheme="minorEastAsia" w:eastAsiaTheme="minorEastAsia"/>
          <w:b/>
          <w:color w:val="000000" w:themeColor="text1"/>
          <w:szCs w:val="21"/>
          <w14:textFill>
            <w14:solidFill>
              <w14:schemeClr w14:val="tx1"/>
            </w14:solidFill>
          </w14:textFill>
        </w:rPr>
        <w:t>3）托管人</w:t>
      </w:r>
      <w:r>
        <w:rPr>
          <w:rFonts w:asciiTheme="minorEastAsia" w:hAnsiTheme="minorEastAsia" w:eastAsiaTheme="minorEastAsia"/>
          <w:b/>
          <w:color w:val="000000" w:themeColor="text1"/>
          <w:szCs w:val="21"/>
          <w14:textFill>
            <w14:solidFill>
              <w14:schemeClr w14:val="tx1"/>
            </w14:solidFill>
          </w14:textFill>
        </w:rPr>
        <w:t>/</w:t>
      </w:r>
      <w:r>
        <w:rPr>
          <w:rFonts w:hint="eastAsia" w:cs="微软雅黑" w:asciiTheme="minorEastAsia" w:hAnsiTheme="minorEastAsia" w:eastAsiaTheme="minorEastAsia"/>
          <w:b/>
          <w:color w:val="000000" w:themeColor="text1"/>
          <w:szCs w:val="21"/>
          <w14:textFill>
            <w14:solidFill>
              <w14:schemeClr w14:val="tx1"/>
            </w14:solidFill>
          </w14:textFill>
        </w:rPr>
        <w:t>产品托管人：</w:t>
      </w:r>
      <w:r>
        <w:rPr>
          <w:rFonts w:hint="eastAsia" w:asciiTheme="minorEastAsia" w:hAnsiTheme="minorEastAsia" w:eastAsiaTheme="minorEastAsia"/>
          <w:color w:val="000000" w:themeColor="text1"/>
          <w:szCs w:val="21"/>
          <w14:textFill>
            <w14:solidFill>
              <w14:schemeClr w14:val="tx1"/>
            </w14:solidFill>
          </w14:textFill>
        </w:rPr>
        <w:t>指管理人指定的托管本理财产品的机构。</w:t>
      </w:r>
    </w:p>
    <w:p>
      <w:pPr>
        <w:spacing w:line="360" w:lineRule="auto"/>
        <w:ind w:firstLine="421" w:firstLineChars="200"/>
        <w:rPr>
          <w:rFonts w:cs="微软雅黑" w:asciiTheme="minorEastAsia" w:hAnsiTheme="minorEastAsia" w:eastAsiaTheme="minorEastAsia"/>
          <w:color w:val="000000"/>
          <w:szCs w:val="21"/>
        </w:rPr>
      </w:pPr>
      <w:r>
        <w:rPr>
          <w:rFonts w:hint="eastAsia" w:cs="微软雅黑" w:asciiTheme="minorEastAsia" w:hAnsiTheme="minorEastAsia" w:eastAsiaTheme="minorEastAsia"/>
          <w:b/>
          <w:color w:val="000000"/>
          <w:szCs w:val="21"/>
        </w:rPr>
        <w:t>（</w:t>
      </w:r>
      <w:r>
        <w:rPr>
          <w:rFonts w:cs="微软雅黑" w:asciiTheme="minorEastAsia" w:hAnsiTheme="minorEastAsia" w:eastAsiaTheme="minorEastAsia"/>
          <w:b/>
          <w:color w:val="000000"/>
          <w:szCs w:val="21"/>
        </w:rPr>
        <w:t>4）</w:t>
      </w:r>
      <w:r>
        <w:rPr>
          <w:rFonts w:hint="eastAsia" w:cs="微软雅黑" w:asciiTheme="minorEastAsia" w:hAnsiTheme="minorEastAsia" w:eastAsiaTheme="minorEastAsia"/>
          <w:b/>
          <w:color w:val="000000"/>
          <w:szCs w:val="21"/>
        </w:rPr>
        <w:t>销售机构：</w:t>
      </w:r>
      <w:r>
        <w:rPr>
          <w:rFonts w:hint="eastAsia" w:cs="微软雅黑" w:asciiTheme="minorEastAsia" w:hAnsiTheme="minorEastAsia" w:eastAsiaTheme="minorEastAsia"/>
          <w:color w:val="000000"/>
          <w:szCs w:val="21"/>
        </w:rPr>
        <w:t>指管理人指定的销售本理财产品的机构。</w:t>
      </w:r>
    </w:p>
    <w:p>
      <w:pPr>
        <w:spacing w:line="360" w:lineRule="auto"/>
        <w:ind w:firstLine="421" w:firstLineChars="200"/>
        <w:rPr>
          <w:rFonts w:asciiTheme="minorEastAsia" w:hAnsiTheme="minorEastAsia" w:eastAsiaTheme="minorEastAsia"/>
          <w:szCs w:val="21"/>
        </w:rPr>
      </w:pPr>
      <w:r>
        <w:rPr>
          <w:rFonts w:hint="eastAsia" w:asciiTheme="minorEastAsia" w:hAnsiTheme="minorEastAsia" w:eastAsiaTheme="minorEastAsia"/>
          <w:b/>
          <w:szCs w:val="21"/>
        </w:rPr>
        <w:t>（</w:t>
      </w:r>
      <w:r>
        <w:rPr>
          <w:rFonts w:asciiTheme="minorEastAsia" w:hAnsiTheme="minorEastAsia" w:eastAsiaTheme="minorEastAsia"/>
          <w:b/>
          <w:szCs w:val="21"/>
        </w:rPr>
        <w:t>5）理财投资合作机构：</w:t>
      </w:r>
      <w:r>
        <w:rPr>
          <w:rFonts w:hint="eastAsia" w:asciiTheme="minorEastAsia" w:hAnsiTheme="minorEastAsia" w:eastAsiaTheme="minorEastAsia"/>
          <w:szCs w:val="21"/>
        </w:rPr>
        <w:t>包</w:t>
      </w:r>
      <w:r>
        <w:rPr>
          <w:rFonts w:asciiTheme="minorEastAsia" w:hAnsiTheme="minorEastAsia" w:eastAsiaTheme="minorEastAsia"/>
          <w:szCs w:val="21"/>
        </w:rPr>
        <w:t>括但不限于</w:t>
      </w:r>
      <w:r>
        <w:rPr>
          <w:rFonts w:hint="eastAsia" w:asciiTheme="minorEastAsia" w:hAnsiTheme="minorEastAsia" w:eastAsiaTheme="minorEastAsia"/>
          <w:szCs w:val="21"/>
        </w:rPr>
        <w:t>本理财产品所投资资产管理产品的发行机构、从事本理财产品受托投资的机构以及与本理财产品投资管理相关的投资顾问等。</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szCs w:val="21"/>
        </w:rPr>
        <w:t>（</w:t>
      </w:r>
      <w:r>
        <w:rPr>
          <w:rFonts w:asciiTheme="minorEastAsia" w:hAnsiTheme="minorEastAsia" w:eastAsiaTheme="minorEastAsia"/>
          <w:b/>
          <w:szCs w:val="21"/>
        </w:rPr>
        <w:t>6）</w:t>
      </w:r>
      <w:r>
        <w:rPr>
          <w:rFonts w:hint="eastAsia" w:cs="微软雅黑" w:asciiTheme="minorEastAsia" w:hAnsiTheme="minorEastAsia" w:eastAsiaTheme="minorEastAsia"/>
          <w:b/>
          <w:color w:val="000000"/>
          <w:szCs w:val="21"/>
        </w:rPr>
        <w:t>投资者：</w:t>
      </w:r>
      <w:r>
        <w:rPr>
          <w:rFonts w:hint="eastAsia" w:cs="微软雅黑" w:asciiTheme="minorEastAsia" w:hAnsiTheme="minorEastAsia" w:eastAsiaTheme="minorEastAsia"/>
          <w:color w:val="000000"/>
          <w:szCs w:val="21"/>
        </w:rPr>
        <w:t>指符合相关法律法规、监管规定要求的、可以购买理财产品的自然人、法人和其他组织。</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szCs w:val="21"/>
        </w:rPr>
        <w:t>（</w:t>
      </w:r>
      <w:r>
        <w:rPr>
          <w:rFonts w:asciiTheme="minorEastAsia" w:hAnsiTheme="minorEastAsia" w:eastAsiaTheme="minorEastAsia"/>
          <w:b/>
          <w:szCs w:val="21"/>
        </w:rPr>
        <w:t>7）</w:t>
      </w:r>
      <w:r>
        <w:rPr>
          <w:rFonts w:hint="eastAsia" w:cs="微软雅黑" w:asciiTheme="minorEastAsia" w:hAnsiTheme="minorEastAsia" w:eastAsiaTheme="minorEastAsia"/>
          <w:b/>
          <w:color w:val="000000"/>
          <w:szCs w:val="21"/>
        </w:rPr>
        <w:t>专业投资者：</w:t>
      </w:r>
      <w:r>
        <w:rPr>
          <w:rFonts w:hint="eastAsia" w:cs="微软雅黑" w:asciiTheme="minorEastAsia" w:hAnsiTheme="minorEastAsia" w:eastAsiaTheme="minorEastAsia"/>
          <w:color w:val="000000"/>
          <w:szCs w:val="21"/>
        </w:rPr>
        <w:t>符合下列条件之一的是专业投资者：（一）银行业金融机构、保险业金融机构、金融控股公司、证券基金期货经营机构、私募基金管理人；</w:t>
      </w:r>
      <w:r>
        <w:rPr>
          <w:rFonts w:hint="eastAsia" w:cs="微软雅黑" w:asciiTheme="minorEastAsia" w:hAnsiTheme="minorEastAsia" w:eastAsiaTheme="minorEastAsia"/>
          <w:szCs w:val="21"/>
        </w:rPr>
        <w:t>（二）上述机构面向投资者发行的金融产品，信托公司管理的资产服务信托、公益慈善信托；</w:t>
      </w:r>
      <w:r>
        <w:rPr>
          <w:rFonts w:hint="eastAsia" w:cs="微软雅黑" w:asciiTheme="minorEastAsia" w:hAnsiTheme="minorEastAsia" w:eastAsiaTheme="minorEastAsia"/>
          <w:color w:val="000000"/>
          <w:szCs w:val="21"/>
        </w:rPr>
        <w:t>（三）社会保障基金、企业年金、职业年金等养老基金，慈善基金等社会公益基金，合格境外机构投资者（QFII）、人民币合格境外机构投资者（RQFII）。</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szCs w:val="21"/>
        </w:rPr>
        <w:t>（</w:t>
      </w:r>
      <w:r>
        <w:rPr>
          <w:rFonts w:asciiTheme="minorEastAsia" w:hAnsiTheme="minorEastAsia" w:eastAsiaTheme="minorEastAsia"/>
          <w:b/>
          <w:szCs w:val="21"/>
        </w:rPr>
        <w:t>8）</w:t>
      </w:r>
      <w:r>
        <w:rPr>
          <w:rFonts w:hint="eastAsia" w:cs="微软雅黑" w:asciiTheme="minorEastAsia" w:hAnsiTheme="minorEastAsia" w:eastAsiaTheme="minorEastAsia"/>
          <w:b/>
          <w:color w:val="000000"/>
          <w:szCs w:val="21"/>
        </w:rPr>
        <w:t>普通投资者：</w:t>
      </w:r>
      <w:r>
        <w:rPr>
          <w:rFonts w:hint="eastAsia" w:cs="微软雅黑" w:asciiTheme="minorEastAsia" w:hAnsiTheme="minorEastAsia" w:eastAsiaTheme="minorEastAsia"/>
          <w:color w:val="000000"/>
          <w:szCs w:val="21"/>
        </w:rPr>
        <w:t>专业投资者之外的投资者为普通投资者。普通投资者应符合相关法律法规、监管规定要求，经销售机构评估评定投资者风险承受能力与本产品风险等级相适应。</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9）家族信托、公益（慈善）信托：</w:t>
      </w:r>
      <w:r>
        <w:rPr>
          <w:rFonts w:hint="eastAsia" w:asciiTheme="minorEastAsia" w:hAnsiTheme="minorEastAsia" w:eastAsiaTheme="minorEastAsia"/>
          <w:color w:val="000000"/>
          <w:szCs w:val="21"/>
        </w:rPr>
        <w:t>仅指销售机构认可且符合《关于加强规范资产管理业务过渡期内信托监管工作的通知》（信托函[2018]37 号）及《信托法》等相关法律法规、监管政策要求的家族信托、公益（慈善）信托。</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10）监管机构：</w:t>
      </w:r>
      <w:r>
        <w:rPr>
          <w:rFonts w:hint="eastAsia" w:asciiTheme="minorEastAsia" w:hAnsiTheme="minorEastAsia" w:eastAsiaTheme="minorEastAsia"/>
          <w:color w:val="000000"/>
          <w:szCs w:val="21"/>
        </w:rPr>
        <w:t>指对产品管理人、理财投资合作机构、理财产品其他当事人</w:t>
      </w:r>
      <w:r>
        <w:rPr>
          <w:rFonts w:asciiTheme="minorEastAsia" w:hAnsiTheme="minorEastAsia" w:eastAsiaTheme="minorEastAsia"/>
          <w:color w:val="000000"/>
          <w:szCs w:val="21"/>
        </w:rPr>
        <w:t>实施监督管理的</w:t>
      </w:r>
      <w:r>
        <w:rPr>
          <w:rFonts w:hint="eastAsia" w:asciiTheme="minorEastAsia" w:hAnsiTheme="minorEastAsia" w:eastAsiaTheme="minorEastAsia"/>
          <w:color w:val="000000"/>
          <w:szCs w:val="21"/>
        </w:rPr>
        <w:t>有权</w:t>
      </w:r>
      <w:r>
        <w:rPr>
          <w:rFonts w:asciiTheme="minorEastAsia" w:hAnsiTheme="minorEastAsia" w:eastAsiaTheme="minorEastAsia"/>
          <w:color w:val="000000"/>
          <w:szCs w:val="21"/>
        </w:rPr>
        <w:t>机构，包括但不限于中国人民银行、</w:t>
      </w:r>
      <w:r>
        <w:rPr>
          <w:rFonts w:hint="eastAsia" w:asciiTheme="minorEastAsia" w:hAnsiTheme="minorEastAsia" w:eastAsiaTheme="minorEastAsia"/>
          <w:spacing w:val="-3"/>
        </w:rPr>
        <w:t>国家金融监督管理总局</w:t>
      </w:r>
      <w:r>
        <w:rPr>
          <w:rFonts w:asciiTheme="minorEastAsia" w:hAnsiTheme="minorEastAsia" w:eastAsiaTheme="minorEastAsia"/>
          <w:color w:val="000000"/>
          <w:szCs w:val="21"/>
        </w:rPr>
        <w:t>、中国证券监督管理委员会、国家外汇管理局、银行业理财登记托管中心等。</w:t>
      </w:r>
    </w:p>
    <w:p>
      <w:pPr>
        <w:spacing w:line="360" w:lineRule="auto"/>
        <w:ind w:firstLine="421" w:firstLineChars="200"/>
        <w:rPr>
          <w:rFonts w:asciiTheme="minorEastAsia" w:hAnsiTheme="minorEastAsia" w:eastAsiaTheme="minorEastAsia"/>
          <w:b/>
          <w:szCs w:val="21"/>
        </w:rPr>
      </w:pPr>
      <w:r>
        <w:rPr>
          <w:rFonts w:asciiTheme="minorEastAsia" w:hAnsiTheme="minorEastAsia" w:eastAsiaTheme="minorEastAsia"/>
          <w:b/>
          <w:szCs w:val="21"/>
        </w:rPr>
        <w:t>2.法律文件用语</w:t>
      </w:r>
    </w:p>
    <w:p>
      <w:pPr>
        <w:autoSpaceDE w:val="0"/>
        <w:autoSpaceDN w:val="0"/>
        <w:snapToGrid w:val="0"/>
        <w:spacing w:line="300" w:lineRule="auto"/>
        <w:ind w:firstLine="424"/>
        <w:rPr>
          <w:rFonts w:asciiTheme="minorEastAsia" w:hAnsiTheme="minorEastAsia" w:eastAsiaTheme="minorEastAsia"/>
        </w:rPr>
      </w:pPr>
      <w:r>
        <w:rPr>
          <w:rFonts w:hint="eastAsia" w:cs="微软雅黑" w:asciiTheme="minorEastAsia" w:hAnsiTheme="minorEastAsia" w:eastAsiaTheme="minorEastAsia"/>
          <w:b/>
          <w:szCs w:val="21"/>
        </w:rPr>
        <w:t>（1）本理财产品销售文件：</w:t>
      </w:r>
      <w:r>
        <w:rPr>
          <w:rFonts w:hint="eastAsia" w:asciiTheme="minorEastAsia" w:hAnsiTheme="minorEastAsia" w:eastAsiaTheme="minorEastAsia"/>
          <w:b/>
          <w:szCs w:val="21"/>
        </w:rPr>
        <w:t>指本理财产品的《投资协议书》</w:t>
      </w:r>
      <w:r>
        <w:rPr>
          <w:rFonts w:hint="eastAsia" w:asciiTheme="minorEastAsia" w:hAnsiTheme="minorEastAsia" w:eastAsiaTheme="minorEastAsia"/>
          <w:szCs w:val="21"/>
        </w:rPr>
        <w:t>、</w:t>
      </w:r>
      <w:r>
        <w:rPr>
          <w:rFonts w:hint="eastAsia" w:asciiTheme="minorEastAsia" w:hAnsiTheme="minorEastAsia" w:eastAsiaTheme="minorEastAsia"/>
          <w:b/>
          <w:szCs w:val="21"/>
        </w:rPr>
        <w:t>《销售（代理销售）协议书》</w:t>
      </w:r>
      <w:r>
        <w:rPr>
          <w:rFonts w:hint="eastAsia" w:asciiTheme="minorEastAsia" w:hAnsiTheme="minorEastAsia" w:eastAsiaTheme="minorEastAsia"/>
          <w:szCs w:val="21"/>
        </w:rPr>
        <w:t>、</w:t>
      </w:r>
      <w:r>
        <w:rPr>
          <w:rFonts w:hint="eastAsia" w:asciiTheme="minorEastAsia" w:hAnsiTheme="minorEastAsia" w:eastAsiaTheme="minorEastAsia"/>
          <w:b/>
          <w:szCs w:val="21"/>
        </w:rPr>
        <w:t>《产品说明书》</w:t>
      </w:r>
      <w:r>
        <w:rPr>
          <w:rFonts w:hint="eastAsia" w:asciiTheme="minorEastAsia" w:hAnsiTheme="minorEastAsia" w:eastAsiaTheme="minorEastAsia"/>
          <w:szCs w:val="21"/>
        </w:rPr>
        <w:t>、</w:t>
      </w:r>
      <w:r>
        <w:rPr>
          <w:rFonts w:hint="eastAsia" w:asciiTheme="minorEastAsia" w:hAnsiTheme="minorEastAsia" w:eastAsiaTheme="minorEastAsia"/>
          <w:b/>
          <w:szCs w:val="21"/>
        </w:rPr>
        <w:t>《风险揭示书》</w:t>
      </w:r>
      <w:r>
        <w:rPr>
          <w:rFonts w:hint="eastAsia" w:asciiTheme="minorEastAsia" w:hAnsiTheme="minorEastAsia" w:eastAsiaTheme="minorEastAsia"/>
          <w:szCs w:val="21"/>
        </w:rPr>
        <w:t>和</w:t>
      </w:r>
      <w:r>
        <w:rPr>
          <w:rFonts w:hint="eastAsia" w:asciiTheme="minorEastAsia" w:hAnsiTheme="minorEastAsia" w:eastAsiaTheme="minorEastAsia"/>
          <w:b/>
          <w:szCs w:val="21"/>
        </w:rPr>
        <w:t>《投资者权益须知》</w:t>
      </w:r>
      <w:r>
        <w:rPr>
          <w:rFonts w:hint="eastAsia" w:asciiTheme="minorEastAsia" w:hAnsiTheme="minorEastAsia" w:eastAsiaTheme="minorEastAsia"/>
          <w:szCs w:val="21"/>
        </w:rPr>
        <w:t>等文件</w:t>
      </w:r>
      <w:r>
        <w:rPr>
          <w:rFonts w:hint="eastAsia" w:asciiTheme="minorEastAsia" w:hAnsiTheme="minorEastAsia" w:eastAsiaTheme="minorEastAsia"/>
        </w:rPr>
        <w:t>及其不时有效修订与补充。</w:t>
      </w:r>
    </w:p>
    <w:p>
      <w:pPr>
        <w:autoSpaceDE w:val="0"/>
        <w:autoSpaceDN w:val="0"/>
        <w:snapToGrid w:val="0"/>
        <w:spacing w:line="300" w:lineRule="auto"/>
        <w:ind w:right="0" w:firstLine="421" w:firstLineChars="200"/>
        <w:jc w:val="left"/>
        <w:rPr>
          <w:rFonts w:cs="微软雅黑" w:asciiTheme="minorEastAsia" w:hAnsiTheme="minorEastAsia" w:eastAsiaTheme="minorEastAsia"/>
          <w:b/>
          <w:szCs w:val="21"/>
        </w:rPr>
      </w:pPr>
      <w:r>
        <w:rPr>
          <w:rFonts w:hint="eastAsia" w:cs="微软雅黑" w:asciiTheme="minorEastAsia" w:hAnsiTheme="minorEastAsia" w:eastAsiaTheme="minorEastAsia"/>
          <w:b/>
          <w:szCs w:val="21"/>
        </w:rPr>
        <w:t>（</w:t>
      </w:r>
      <w:r>
        <w:rPr>
          <w:rFonts w:cs="微软雅黑" w:asciiTheme="minorEastAsia" w:hAnsiTheme="minorEastAsia" w:eastAsiaTheme="minorEastAsia"/>
          <w:b/>
          <w:szCs w:val="21"/>
        </w:rPr>
        <w:t>2）理财</w:t>
      </w:r>
      <w:r>
        <w:rPr>
          <w:rFonts w:hint="eastAsia" w:cs="微软雅黑" w:asciiTheme="minorEastAsia" w:hAnsiTheme="minorEastAsia" w:eastAsiaTheme="minorEastAsia"/>
          <w:b/>
          <w:szCs w:val="21"/>
        </w:rPr>
        <w:t>产品合同：指本理财产品的《产品说明书》、《风险揭示书》和《投资协议书》</w:t>
      </w:r>
      <w:r>
        <w:rPr>
          <w:rFonts w:hint="eastAsia" w:cs="微软雅黑" w:asciiTheme="minorEastAsia" w:hAnsiTheme="minorEastAsia" w:eastAsiaTheme="minorEastAsia"/>
          <w:szCs w:val="21"/>
        </w:rPr>
        <w:t>及其不时有效修订与补充</w:t>
      </w:r>
      <w:r>
        <w:rPr>
          <w:rFonts w:hint="eastAsia" w:cs="微软雅黑" w:asciiTheme="minorEastAsia" w:hAnsiTheme="minorEastAsia" w:eastAsiaTheme="minorEastAsia"/>
          <w:b/>
          <w:szCs w:val="21"/>
        </w:rPr>
        <w:t>。</w:t>
      </w:r>
    </w:p>
    <w:p>
      <w:pPr>
        <w:spacing w:line="360" w:lineRule="auto"/>
        <w:ind w:firstLine="421" w:firstLineChars="200"/>
        <w:rPr>
          <w:rFonts w:asciiTheme="minorEastAsia" w:hAnsiTheme="minorEastAsia" w:eastAsiaTheme="minorEastAsia"/>
          <w:b/>
          <w:szCs w:val="21"/>
        </w:rPr>
      </w:pPr>
      <w:r>
        <w:rPr>
          <w:rFonts w:asciiTheme="minorEastAsia" w:hAnsiTheme="minorEastAsia" w:eastAsiaTheme="minorEastAsia"/>
          <w:b/>
          <w:szCs w:val="21"/>
        </w:rPr>
        <w:t>3.理财产品用语</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w:t>
      </w:r>
      <w:r>
        <w:rPr>
          <w:rFonts w:hint="eastAsia" w:asciiTheme="minorEastAsia" w:hAnsiTheme="minorEastAsia" w:eastAsiaTheme="minorEastAsia"/>
          <w:b/>
          <w:color w:val="000000"/>
          <w:szCs w:val="21"/>
        </w:rPr>
        <w:t>理财产品</w:t>
      </w:r>
      <w:r>
        <w:rPr>
          <w:rFonts w:asciiTheme="minorEastAsia" w:hAnsiTheme="minorEastAsia" w:eastAsiaTheme="minorEastAsia"/>
          <w:b/>
          <w:color w:val="000000"/>
          <w:szCs w:val="21"/>
        </w:rPr>
        <w:t>/产品</w:t>
      </w:r>
      <w:r>
        <w:rPr>
          <w:rFonts w:hint="eastAsia" w:asciiTheme="minorEastAsia" w:hAnsiTheme="minorEastAsia" w:eastAsiaTheme="minorEastAsia"/>
          <w:b/>
          <w:color w:val="000000"/>
          <w:szCs w:val="21"/>
        </w:rPr>
        <w:t>/本理财产品/本产品：</w:t>
      </w:r>
      <w:r>
        <w:rPr>
          <w:rFonts w:hint="eastAsia" w:asciiTheme="minorEastAsia" w:hAnsiTheme="minorEastAsia" w:eastAsiaTheme="minorEastAsia"/>
          <w:color w:val="000000"/>
          <w:szCs w:val="21"/>
        </w:rPr>
        <w:t>指浦银理财作为管理人发行的、本《产品说明书》“二、产品概述”载明的理财产品</w:t>
      </w:r>
      <w:r>
        <w:rPr>
          <w:rFonts w:asciiTheme="minorEastAsia" w:hAnsiTheme="minorEastAsia" w:eastAsiaTheme="minorEastAsia"/>
          <w:color w:val="000000"/>
          <w:szCs w:val="21"/>
        </w:rPr>
        <w:t>。</w:t>
      </w:r>
    </w:p>
    <w:p>
      <w:pPr>
        <w:autoSpaceDE w:val="0"/>
        <w:autoSpaceDN w:val="0"/>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szCs w:val="21"/>
        </w:rPr>
        <w:t>（</w:t>
      </w:r>
      <w:r>
        <w:rPr>
          <w:rFonts w:asciiTheme="minorEastAsia" w:hAnsiTheme="minorEastAsia" w:eastAsiaTheme="minorEastAsia"/>
          <w:b/>
          <w:color w:val="000000"/>
          <w:szCs w:val="21"/>
        </w:rPr>
        <w:t>2）募集方式：</w:t>
      </w:r>
      <w:r>
        <w:rPr>
          <w:rFonts w:hint="eastAsia" w:asciiTheme="minorEastAsia" w:hAnsiTheme="minorEastAsia" w:eastAsiaTheme="minorEastAsia"/>
          <w:color w:val="000000"/>
          <w:szCs w:val="21"/>
        </w:rPr>
        <w:t>理财产品募集方式分为公募和私募，其中，公募理财产品是面向不特定社会公众公开发行的理财产品；私募理财产品是指面向合格投资者非公开发行的理财产品。</w:t>
      </w:r>
    </w:p>
    <w:p>
      <w:pPr>
        <w:autoSpaceDE w:val="0"/>
        <w:autoSpaceDN w:val="0"/>
        <w:spacing w:line="360" w:lineRule="auto"/>
        <w:ind w:firstLine="42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szCs w:val="21"/>
        </w:rPr>
        <w:t>（</w:t>
      </w:r>
      <w:r>
        <w:rPr>
          <w:rFonts w:asciiTheme="minorEastAsia" w:hAnsiTheme="minorEastAsia" w:eastAsiaTheme="minorEastAsia"/>
          <w:b/>
          <w:color w:val="000000"/>
          <w:szCs w:val="21"/>
        </w:rPr>
        <w:t>3）运作方式：</w:t>
      </w:r>
      <w:r>
        <w:rPr>
          <w:rFonts w:hint="eastAsia" w:asciiTheme="minorEastAsia" w:hAnsiTheme="minorEastAsia" w:eastAsiaTheme="minorEastAsia"/>
          <w:color w:val="000000"/>
          <w:szCs w:val="21"/>
        </w:rPr>
        <w:t>理财产品的运作方式分为封闭式和开放式。封闭式理财产品是指有确定到期日，且自产品成立日至终止日期间，投资者不得进行</w:t>
      </w:r>
      <w:r>
        <w:rPr>
          <w:rFonts w:asciiTheme="minorEastAsia" w:hAnsiTheme="minorEastAsia" w:eastAsiaTheme="minorEastAsia"/>
          <w:color w:val="000000"/>
          <w:szCs w:val="21"/>
        </w:rPr>
        <w:t>申购或者赎回的理财产品；开放式理财产品是指自产品成立日至终止日期间，理财产品份额总额不固定，投资者可以按照协议约定，</w:t>
      </w:r>
      <w:r>
        <w:rPr>
          <w:rFonts w:asciiTheme="minorEastAsia" w:hAnsiTheme="minorEastAsia" w:eastAsiaTheme="minorEastAsia"/>
          <w:color w:val="000000" w:themeColor="text1"/>
          <w:szCs w:val="21"/>
          <w14:textFill>
            <w14:solidFill>
              <w14:schemeClr w14:val="tx1"/>
            </w14:solidFill>
          </w14:textFill>
        </w:rPr>
        <w:t>在开放日</w:t>
      </w:r>
      <w:r>
        <w:rPr>
          <w:rFonts w:hint="eastAsia" w:asciiTheme="minorEastAsia" w:hAnsiTheme="minorEastAsia" w:eastAsiaTheme="minorEastAsia"/>
          <w:color w:val="000000" w:themeColor="text1"/>
          <w:szCs w:val="21"/>
          <w14:textFill>
            <w14:solidFill>
              <w14:schemeClr w14:val="tx1"/>
            </w14:solidFill>
          </w14:textFill>
        </w:rPr>
        <w:t>通过</w:t>
      </w:r>
      <w:r>
        <w:rPr>
          <w:rFonts w:asciiTheme="minorEastAsia" w:hAnsiTheme="minorEastAsia" w:eastAsiaTheme="minorEastAsia"/>
          <w:color w:val="000000" w:themeColor="text1"/>
          <w:szCs w:val="21"/>
          <w14:textFill>
            <w14:solidFill>
              <w14:schemeClr w14:val="tx1"/>
            </w14:solidFill>
          </w14:textFill>
        </w:rPr>
        <w:t>相应</w:t>
      </w:r>
      <w:r>
        <w:rPr>
          <w:rFonts w:hint="eastAsia" w:asciiTheme="minorEastAsia" w:hAnsiTheme="minorEastAsia" w:eastAsiaTheme="minorEastAsia"/>
          <w:color w:val="000000" w:themeColor="text1"/>
          <w:szCs w:val="21"/>
          <w14:textFill>
            <w14:solidFill>
              <w14:schemeClr w14:val="tx1"/>
            </w14:solidFill>
          </w14:textFill>
        </w:rPr>
        <w:t>渠道</w:t>
      </w:r>
      <w:r>
        <w:rPr>
          <w:rFonts w:asciiTheme="minorEastAsia" w:hAnsiTheme="minorEastAsia" w:eastAsiaTheme="minorEastAsia"/>
          <w:color w:val="000000" w:themeColor="text1"/>
          <w:szCs w:val="21"/>
          <w14:textFill>
            <w14:solidFill>
              <w14:schemeClr w14:val="tx1"/>
            </w14:solidFill>
          </w14:textFill>
        </w:rPr>
        <w:t>进行申购或者赎回的理财产品</w:t>
      </w:r>
      <w:r>
        <w:rPr>
          <w:rFonts w:hint="eastAsia" w:asciiTheme="minorEastAsia" w:hAnsiTheme="minorEastAsia" w:eastAsiaTheme="minorEastAsia"/>
          <w:color w:val="000000"/>
          <w:szCs w:val="21"/>
        </w:rPr>
        <w:t>。</w:t>
      </w:r>
    </w:p>
    <w:p>
      <w:pPr>
        <w:autoSpaceDE w:val="0"/>
        <w:autoSpaceDN w:val="0"/>
        <w:spacing w:line="360" w:lineRule="auto"/>
        <w:ind w:firstLine="424"/>
        <w:rPr>
          <w:rFonts w:asciiTheme="minorEastAsia" w:hAnsiTheme="minorEastAsia" w:eastAsiaTheme="minorEastAsia"/>
          <w:color w:val="000000"/>
          <w:szCs w:val="21"/>
        </w:rPr>
      </w:pPr>
      <w:r>
        <w:rPr>
          <w:rFonts w:hint="eastAsia" w:asciiTheme="minorEastAsia" w:hAnsiTheme="minorEastAsia" w:eastAsiaTheme="minorEastAsia"/>
          <w:b/>
          <w:szCs w:val="21"/>
        </w:rPr>
        <w:t>（</w:t>
      </w:r>
      <w:r>
        <w:rPr>
          <w:rFonts w:asciiTheme="minorEastAsia" w:hAnsiTheme="minorEastAsia" w:eastAsiaTheme="minorEastAsia"/>
          <w:b/>
          <w:color w:val="000000"/>
          <w:szCs w:val="21"/>
        </w:rPr>
        <w:t>4）产品类型：</w:t>
      </w:r>
      <w:r>
        <w:rPr>
          <w:rFonts w:hint="eastAsia" w:asciiTheme="minorEastAsia" w:hAnsiTheme="minorEastAsia" w:eastAsiaTheme="minorEastAsia"/>
          <w:color w:val="000000"/>
          <w:szCs w:val="21"/>
        </w:rPr>
        <w:t>根据《关于规范金融机构资产管理业务的指导意见》（银发〔</w:t>
      </w:r>
      <w:r>
        <w:rPr>
          <w:rFonts w:asciiTheme="minorEastAsia" w:hAnsiTheme="minorEastAsia" w:eastAsiaTheme="minorEastAsia"/>
          <w:color w:val="000000"/>
          <w:szCs w:val="21"/>
        </w:rPr>
        <w:t>2018〕106号）、《商业银行理财业务监督管理办法》（银保监会令〔2018〕6号）规定，</w:t>
      </w:r>
      <w:r>
        <w:rPr>
          <w:rFonts w:hint="eastAsia" w:asciiTheme="minorEastAsia" w:hAnsiTheme="minorEastAsia" w:eastAsiaTheme="minorEastAsia"/>
          <w:color w:val="000000"/>
          <w:szCs w:val="21"/>
        </w:rPr>
        <w:t>依据投资性质不同，</w:t>
      </w:r>
      <w:r>
        <w:rPr>
          <w:rFonts w:asciiTheme="minorEastAsia" w:hAnsiTheme="minorEastAsia" w:eastAsiaTheme="minorEastAsia"/>
          <w:color w:val="000000"/>
          <w:szCs w:val="21"/>
        </w:rPr>
        <w:t>理财产品分为固定收益类理财产品、权益类理财产品、商品及金融衍生品类理财产品和混合类理财产品。固定收益类理财产品投资于存款、债券等债权类资产的比例不低于80%；权益类理财产品投资于权益类资产的比例不</w:t>
      </w:r>
      <w:r>
        <w:rPr>
          <w:rFonts w:asciiTheme="minorEastAsia" w:hAnsiTheme="minorEastAsia" w:eastAsiaTheme="minorEastAsia"/>
          <w:color w:val="000000" w:themeColor="text1"/>
          <w:szCs w:val="21"/>
          <w14:textFill>
            <w14:solidFill>
              <w14:schemeClr w14:val="tx1"/>
            </w14:solidFill>
          </w14:textFill>
        </w:rPr>
        <w:t>低于80%；商品及金融衍生品类理财产品投资于商品及金融衍生品的比例不低于80%；混合类理财产品投</w:t>
      </w:r>
      <w:r>
        <w:rPr>
          <w:rFonts w:asciiTheme="minorEastAsia" w:hAnsiTheme="minorEastAsia" w:eastAsiaTheme="minorEastAsia"/>
          <w:color w:val="000000"/>
          <w:szCs w:val="21"/>
        </w:rPr>
        <w:t>资于债权类资产、权益类资产、商品及金融衍生品类资产且任一资产的投资比例未达到前三类理财产品标准。</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（5）认购：</w:t>
      </w:r>
      <w:r>
        <w:rPr>
          <w:rFonts w:hint="eastAsia" w:asciiTheme="minorEastAsia" w:hAnsiTheme="minorEastAsia" w:eastAsiaTheme="minorEastAsia"/>
          <w:color w:val="000000"/>
          <w:szCs w:val="21"/>
        </w:rPr>
        <w:t>指在理财产品的认购期内，投资者根据理财产品销售文件申请购买理财产品份额的行为。</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（6）申购：</w:t>
      </w:r>
      <w:r>
        <w:rPr>
          <w:rFonts w:hint="eastAsia" w:asciiTheme="minorEastAsia" w:hAnsiTheme="minorEastAsia" w:eastAsiaTheme="minorEastAsia"/>
          <w:color w:val="000000"/>
          <w:szCs w:val="21"/>
        </w:rPr>
        <w:t>指在理财产品的开放日，投资者根据理财产品销售文件申请购买理财产品份额的行为。</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（7）赎回：</w:t>
      </w:r>
      <w:r>
        <w:rPr>
          <w:rFonts w:hint="eastAsia" w:asciiTheme="minorEastAsia" w:hAnsiTheme="minorEastAsia" w:eastAsiaTheme="minorEastAsia"/>
          <w:color w:val="000000"/>
          <w:szCs w:val="21"/>
        </w:rPr>
        <w:t>指在理财产品的开放日，投资者根据理财产品销售文件申请卖出理财产品份额的行为。</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szCs w:val="21"/>
        </w:rPr>
        <w:t>（8）巨额赎回：</w:t>
      </w:r>
      <w:r>
        <w:rPr>
          <w:rFonts w:hint="eastAsia" w:asciiTheme="minorEastAsia" w:hAnsiTheme="minorEastAsia" w:eastAsiaTheme="minorEastAsia"/>
          <w:color w:val="000000" w:themeColor="text1"/>
          <w:szCs w:val="21"/>
          <w14:textFill>
            <w14:solidFill>
              <w14:schemeClr w14:val="tx1"/>
            </w14:solidFill>
          </w14:textFill>
        </w:rPr>
        <w:t>指开放式理财产品单个开放日净赎回申请（赎回申请份额总数扣除申购申请份额总数）超过前一工作日日终理财产品总份额的10%的赎回行为，国务院银行业监督管理机构另有规定的除外。</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szCs w:val="21"/>
        </w:rPr>
        <w:t>（9）业绩比较基准：</w:t>
      </w:r>
      <w:r>
        <w:rPr>
          <w:rFonts w:hint="eastAsia" w:asciiTheme="minorEastAsia" w:hAnsiTheme="minorEastAsia" w:eastAsiaTheme="minorEastAsia"/>
          <w:color w:val="000000"/>
          <w:szCs w:val="21"/>
        </w:rPr>
        <w:t>指管理人根据过往投资经验、拟投资资产收益风险情况、产品存续期限内投资市场波动的预判等而对本产品所设定的投资目标，</w:t>
      </w:r>
      <w:r>
        <w:rPr>
          <w:rFonts w:hint="eastAsia" w:asciiTheme="minorEastAsia" w:hAnsiTheme="minorEastAsia" w:eastAsiaTheme="minorEastAsia"/>
          <w:color w:val="000000" w:themeColor="text1"/>
          <w:szCs w:val="21"/>
          <w14:textFill>
            <w14:solidFill>
              <w14:schemeClr w14:val="tx1"/>
            </w14:solidFill>
          </w14:textFill>
        </w:rPr>
        <w:t>业绩比较基准不代表本理财产品的未来表现和实际收益，不构成管理人对本理财产品的收益承诺和业绩保证</w:t>
      </w:r>
      <w:r>
        <w:rPr>
          <w:rFonts w:hint="eastAsia" w:asciiTheme="minorEastAsia" w:hAnsiTheme="minorEastAsia" w:eastAsiaTheme="minorEastAsia"/>
          <w:color w:val="000000"/>
          <w:szCs w:val="21"/>
        </w:rPr>
        <w:t>。</w:t>
      </w:r>
    </w:p>
    <w:p>
      <w:pPr>
        <w:spacing w:line="360" w:lineRule="auto"/>
        <w:ind w:firstLine="421" w:firstLineChars="200"/>
        <w:rPr>
          <w:rFonts w:asciiTheme="minorEastAsia" w:hAnsiTheme="minorEastAsia" w:eastAsiaTheme="minorEastAsia"/>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w:t>
      </w:r>
      <w:r>
        <w:rPr>
          <w:rFonts w:hint="eastAsia" w:asciiTheme="minorEastAsia" w:hAnsiTheme="minorEastAsia" w:eastAsiaTheme="minorEastAsia"/>
          <w:b/>
          <w:color w:val="000000"/>
          <w:szCs w:val="21"/>
        </w:rPr>
        <w:t>0）理财产品费用：</w:t>
      </w:r>
      <w:r>
        <w:rPr>
          <w:rFonts w:cs="宋体" w:asciiTheme="minorEastAsia" w:hAnsiTheme="minorEastAsia" w:eastAsiaTheme="minorEastAsia"/>
          <w:bCs/>
          <w:iCs/>
          <w:color w:val="000000"/>
          <w:szCs w:val="21"/>
        </w:rPr>
        <w:t>指管理人为成立理财</w:t>
      </w:r>
      <w:r>
        <w:rPr>
          <w:rFonts w:hint="eastAsia" w:cs="宋体" w:asciiTheme="minorEastAsia" w:hAnsiTheme="minorEastAsia" w:eastAsiaTheme="minorEastAsia"/>
          <w:bCs/>
          <w:iCs/>
          <w:color w:val="000000"/>
          <w:szCs w:val="21"/>
        </w:rPr>
        <w:t>产品</w:t>
      </w:r>
      <w:r>
        <w:rPr>
          <w:rFonts w:cs="宋体" w:asciiTheme="minorEastAsia" w:hAnsiTheme="minorEastAsia" w:eastAsiaTheme="minorEastAsia"/>
          <w:bCs/>
          <w:iCs/>
          <w:color w:val="000000"/>
          <w:szCs w:val="21"/>
        </w:rPr>
        <w:t>及处理理财</w:t>
      </w:r>
      <w:r>
        <w:rPr>
          <w:rFonts w:hint="eastAsia" w:cs="宋体" w:asciiTheme="minorEastAsia" w:hAnsiTheme="minorEastAsia" w:eastAsiaTheme="minorEastAsia"/>
          <w:bCs/>
          <w:iCs/>
          <w:color w:val="000000"/>
          <w:szCs w:val="21"/>
        </w:rPr>
        <w:t>产品</w:t>
      </w:r>
      <w:r>
        <w:rPr>
          <w:rFonts w:cs="宋体" w:asciiTheme="minorEastAsia" w:hAnsiTheme="minorEastAsia" w:eastAsiaTheme="minorEastAsia"/>
          <w:bCs/>
          <w:iCs/>
          <w:color w:val="000000"/>
          <w:szCs w:val="21"/>
        </w:rPr>
        <w:t>事务目的而支出的所有费用，包括但不限于管理人收取的固定管理费</w:t>
      </w:r>
      <w:r>
        <w:rPr>
          <w:rFonts w:hint="eastAsia" w:cs="宋体" w:asciiTheme="minorEastAsia" w:hAnsiTheme="minorEastAsia" w:eastAsiaTheme="minorEastAsia"/>
          <w:bCs/>
          <w:iCs/>
          <w:color w:val="000000"/>
          <w:szCs w:val="21"/>
        </w:rPr>
        <w:t>及</w:t>
      </w:r>
      <w:r>
        <w:rPr>
          <w:rFonts w:cs="宋体" w:asciiTheme="minorEastAsia" w:hAnsiTheme="minorEastAsia" w:eastAsiaTheme="minorEastAsia"/>
          <w:bCs/>
          <w:iCs/>
          <w:color w:val="000000"/>
          <w:szCs w:val="21"/>
        </w:rPr>
        <w:t>浮动管理费（如有）</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托管人收取的托管费</w:t>
      </w:r>
      <w:r>
        <w:rPr>
          <w:rFonts w:hint="eastAsia" w:cs="宋体" w:asciiTheme="minorEastAsia" w:hAnsiTheme="minorEastAsia" w:eastAsiaTheme="minorEastAsia"/>
          <w:bCs/>
          <w:iCs/>
          <w:color w:val="000000"/>
          <w:szCs w:val="21"/>
        </w:rPr>
        <w:t>，销售机构收取的销售服务费，</w:t>
      </w:r>
      <w:r>
        <w:rPr>
          <w:rFonts w:cs="宋体" w:asciiTheme="minorEastAsia" w:hAnsiTheme="minorEastAsia" w:eastAsiaTheme="minorEastAsia"/>
          <w:bCs/>
          <w:iCs/>
          <w:color w:val="000000"/>
          <w:szCs w:val="21"/>
        </w:rPr>
        <w:t>交易费用（包括但不限于证券交易佣金、撮合费用等）</w:t>
      </w:r>
      <w:r>
        <w:rPr>
          <w:rFonts w:hint="eastAsia" w:cs="宋体" w:asciiTheme="minorEastAsia" w:hAnsiTheme="minorEastAsia" w:eastAsiaTheme="minorEastAsia"/>
          <w:bCs/>
          <w:iCs/>
          <w:color w:val="000000"/>
          <w:szCs w:val="21"/>
        </w:rPr>
        <w:t>，验资费，</w:t>
      </w:r>
      <w:r>
        <w:rPr>
          <w:rFonts w:cs="宋体" w:asciiTheme="minorEastAsia" w:hAnsiTheme="minorEastAsia" w:eastAsiaTheme="minorEastAsia"/>
          <w:bCs/>
          <w:iCs/>
          <w:color w:val="000000"/>
          <w:szCs w:val="21"/>
        </w:rPr>
        <w:t>审计费</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律师费</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信息披露费</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清算费</w:t>
      </w:r>
      <w:r>
        <w:rPr>
          <w:rFonts w:hint="eastAsia" w:cs="宋体" w:asciiTheme="minorEastAsia" w:hAnsiTheme="minorEastAsia" w:eastAsiaTheme="minorEastAsia"/>
          <w:bCs/>
          <w:iCs/>
          <w:color w:val="000000"/>
          <w:szCs w:val="21"/>
        </w:rPr>
        <w:t>，银行汇划费用，结算费，注册登记费，账户开户费用、账户维护费用、</w:t>
      </w:r>
      <w:r>
        <w:rPr>
          <w:rFonts w:cs="宋体" w:asciiTheme="minorEastAsia" w:hAnsiTheme="minorEastAsia" w:eastAsiaTheme="minorEastAsia"/>
          <w:bCs/>
          <w:iCs/>
          <w:color w:val="000000"/>
          <w:szCs w:val="21"/>
        </w:rPr>
        <w:t>执行费用</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包括但不限于诉讼费、仲裁费、财产保全费、律师费和执行费，以及因诉讼或仲裁之需要而委托中介机构或司法机构进行鉴定、评估等而产生的费用</w:t>
      </w:r>
      <w:r>
        <w:rPr>
          <w:rFonts w:hint="eastAsia" w:cs="宋体" w:asciiTheme="minorEastAsia" w:hAnsiTheme="minorEastAsia" w:eastAsiaTheme="minorEastAsia"/>
          <w:bCs/>
          <w:iCs/>
          <w:color w:val="000000"/>
          <w:szCs w:val="21"/>
        </w:rPr>
        <w:t>）以及按照监管规定和理财产品销售文件约定可以在产品中列支的其它费用</w:t>
      </w:r>
      <w:r>
        <w:rPr>
          <w:rFonts w:cs="宋体" w:asciiTheme="minorEastAsia" w:hAnsiTheme="minorEastAsia" w:eastAsiaTheme="minorEastAsia"/>
          <w:bCs/>
          <w:iCs/>
          <w:color w:val="000000"/>
          <w:szCs w:val="21"/>
        </w:rPr>
        <w:t>，具体以实际发生为准</w:t>
      </w:r>
      <w:r>
        <w:rPr>
          <w:rFonts w:hint="eastAsia" w:cs="宋体" w:asciiTheme="minorEastAsia" w:hAnsiTheme="minorEastAsia" w:eastAsiaTheme="minorEastAsia"/>
          <w:bCs/>
          <w:iCs/>
          <w:color w:val="000000"/>
          <w:szCs w:val="21"/>
        </w:rPr>
        <w:t>。</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w:t>
      </w:r>
      <w:r>
        <w:rPr>
          <w:rFonts w:hint="eastAsia" w:asciiTheme="minorEastAsia" w:hAnsiTheme="minorEastAsia" w:eastAsiaTheme="minorEastAsia"/>
          <w:b/>
          <w:color w:val="000000"/>
          <w:szCs w:val="21"/>
        </w:rPr>
        <w:t>1）理财产品税费：</w:t>
      </w:r>
      <w:r>
        <w:rPr>
          <w:rFonts w:hint="eastAsia" w:asciiTheme="minorEastAsia" w:hAnsiTheme="minorEastAsia" w:eastAsiaTheme="minorEastAsia"/>
          <w:color w:val="000000"/>
          <w:szCs w:val="21"/>
        </w:rPr>
        <w:t>指根据法律法规和理财产品销售文件规定，理财产品应缴纳和承担的税收和有权政府部门向理财产品征收的费用。</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themeColor="text1"/>
          <w:szCs w:val="21"/>
          <w14:textFill>
            <w14:solidFill>
              <w14:schemeClr w14:val="tx1"/>
            </w14:solidFill>
          </w14:textFill>
        </w:rPr>
        <w:t>1</w:t>
      </w:r>
      <w:r>
        <w:rPr>
          <w:rFonts w:hint="eastAsia" w:asciiTheme="minorEastAsia" w:hAnsiTheme="minorEastAsia" w:eastAsiaTheme="minorEastAsia"/>
          <w:b/>
          <w:color w:val="000000" w:themeColor="text1"/>
          <w:szCs w:val="21"/>
          <w14:textFill>
            <w14:solidFill>
              <w14:schemeClr w14:val="tx1"/>
            </w14:solidFill>
          </w14:textFill>
        </w:rPr>
        <w:t>2）理财产品份额</w:t>
      </w:r>
      <w:r>
        <w:rPr>
          <w:rFonts w:asciiTheme="minorEastAsia" w:hAnsiTheme="minorEastAsia" w:eastAsiaTheme="minorEastAsia"/>
          <w:b/>
          <w:color w:val="000000" w:themeColor="text1"/>
          <w:szCs w:val="21"/>
          <w14:textFill>
            <w14:solidFill>
              <w14:schemeClr w14:val="tx1"/>
            </w14:solidFill>
          </w14:textFill>
        </w:rPr>
        <w:t>/产品份额</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指管理人依据理财产品销售文件向投资者发行的一种资产受益凭证。理财产品投资者基于其所持有的理财产品份额享有理财产品利益、承担理财产品资产风险。</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w:t>
      </w:r>
      <w:r>
        <w:rPr>
          <w:rFonts w:hint="eastAsia" w:asciiTheme="minorEastAsia" w:hAnsiTheme="minorEastAsia" w:eastAsiaTheme="minorEastAsia"/>
          <w:b/>
          <w:color w:val="000000"/>
          <w:szCs w:val="21"/>
        </w:rPr>
        <w:t>3）</w:t>
      </w:r>
      <w:r>
        <w:rPr>
          <w:rFonts w:hint="eastAsia" w:asciiTheme="minorEastAsia" w:hAnsiTheme="minorEastAsia" w:eastAsiaTheme="minorEastAsia"/>
          <w:b/>
          <w:color w:val="000000" w:themeColor="text1"/>
          <w:szCs w:val="21"/>
          <w14:textFill>
            <w14:solidFill>
              <w14:schemeClr w14:val="tx1"/>
            </w14:solidFill>
          </w14:textFill>
        </w:rPr>
        <w:t>理财产品资产净值</w:t>
      </w:r>
      <w:r>
        <w:rPr>
          <w:rFonts w:asciiTheme="minorEastAsia" w:hAnsiTheme="minorEastAsia" w:eastAsiaTheme="minorEastAsia"/>
          <w:b/>
          <w:color w:val="000000" w:themeColor="text1"/>
          <w:szCs w:val="21"/>
          <w14:textFill>
            <w14:solidFill>
              <w14:schemeClr w14:val="tx1"/>
            </w14:solidFill>
          </w14:textFill>
        </w:rPr>
        <w:t>/产品资产净值</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理财产品资产净值＝理财产品资产总值</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理财</w:t>
      </w:r>
      <w:r>
        <w:rPr>
          <w:rFonts w:asciiTheme="minorEastAsia" w:hAnsiTheme="minorEastAsia" w:eastAsiaTheme="minorEastAsia"/>
          <w:color w:val="000000" w:themeColor="text1"/>
          <w:szCs w:val="21"/>
          <w14:textFill>
            <w14:solidFill>
              <w14:schemeClr w14:val="tx1"/>
            </w14:solidFill>
          </w14:textFill>
        </w:rPr>
        <w:t>产品负债总值。</w:t>
      </w:r>
      <w:r>
        <w:rPr>
          <w:rFonts w:hint="eastAsia" w:asciiTheme="minorEastAsia" w:hAnsiTheme="minorEastAsia" w:eastAsiaTheme="minorEastAsia"/>
          <w:color w:val="000000" w:themeColor="text1"/>
          <w:szCs w:val="21"/>
          <w14:textFill>
            <w14:solidFill>
              <w14:schemeClr w14:val="tx1"/>
            </w14:solidFill>
          </w14:textFill>
        </w:rPr>
        <w:t>理财</w:t>
      </w:r>
      <w:r>
        <w:rPr>
          <w:rFonts w:asciiTheme="minorEastAsia" w:hAnsiTheme="minorEastAsia" w:eastAsiaTheme="minorEastAsia"/>
          <w:color w:val="000000" w:themeColor="text1"/>
          <w:szCs w:val="21"/>
          <w14:textFill>
            <w14:solidFill>
              <w14:schemeClr w14:val="tx1"/>
            </w14:solidFill>
          </w14:textFill>
        </w:rPr>
        <w:t>产品资产总值是指产品拥有的各类有价证券、银行存款、应收款项及其他资产的价值总和</w:t>
      </w:r>
      <w:r>
        <w:rPr>
          <w:rFonts w:hint="eastAsia" w:asciiTheme="minorEastAsia" w:hAnsiTheme="minorEastAsia" w:eastAsiaTheme="minorEastAsia"/>
          <w:color w:val="000000" w:themeColor="text1"/>
          <w:szCs w:val="21"/>
          <w14:textFill>
            <w14:solidFill>
              <w14:schemeClr w14:val="tx1"/>
            </w14:solidFill>
          </w14:textFill>
        </w:rPr>
        <w:t>；理财</w:t>
      </w:r>
      <w:r>
        <w:rPr>
          <w:rFonts w:asciiTheme="minorEastAsia" w:hAnsiTheme="minorEastAsia" w:eastAsiaTheme="minorEastAsia"/>
          <w:color w:val="000000" w:themeColor="text1"/>
          <w:szCs w:val="21"/>
          <w14:textFill>
            <w14:solidFill>
              <w14:schemeClr w14:val="tx1"/>
            </w14:solidFill>
          </w14:textFill>
        </w:rPr>
        <w:t>产品负债总值是指产品运作时形成的负债价值总和，包括应付各项费用、应付税费等。</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themeColor="text1"/>
          <w:szCs w:val="21"/>
          <w14:textFill>
            <w14:solidFill>
              <w14:schemeClr w14:val="tx1"/>
            </w14:solidFill>
          </w14:textFill>
        </w:rPr>
        <w:t>1</w:t>
      </w:r>
      <w:r>
        <w:rPr>
          <w:rFonts w:hint="eastAsia" w:asciiTheme="minorEastAsia" w:hAnsiTheme="minorEastAsia" w:eastAsiaTheme="minorEastAsia"/>
          <w:b/>
          <w:color w:val="000000" w:themeColor="text1"/>
          <w:szCs w:val="21"/>
          <w14:textFill>
            <w14:solidFill>
              <w14:schemeClr w14:val="tx1"/>
            </w14:solidFill>
          </w14:textFill>
        </w:rPr>
        <w:t>4）理财产品份额净值：</w:t>
      </w:r>
      <w:r>
        <w:rPr>
          <w:rFonts w:hint="eastAsia" w:asciiTheme="minorEastAsia" w:hAnsiTheme="minorEastAsia" w:eastAsiaTheme="minorEastAsia"/>
          <w:color w:val="000000" w:themeColor="text1"/>
          <w:szCs w:val="21"/>
          <w14:textFill>
            <w14:solidFill>
              <w14:schemeClr w14:val="tx1"/>
            </w14:solidFill>
          </w14:textFill>
        </w:rPr>
        <w:t>指理财产品份额的单位净值，即每</w:t>
      </w:r>
      <w:r>
        <w:rPr>
          <w:rFonts w:asciiTheme="minorEastAsia" w:hAnsiTheme="minorEastAsia" w:eastAsiaTheme="minorEastAsia"/>
          <w:color w:val="000000" w:themeColor="text1"/>
          <w:szCs w:val="21"/>
          <w14:textFill>
            <w14:solidFill>
              <w14:schemeClr w14:val="tx1"/>
            </w14:solidFill>
          </w14:textFill>
        </w:rPr>
        <w:t>1份理财产品份额以理财产品募集币种计价的价格。</w:t>
      </w:r>
      <w:r>
        <w:rPr>
          <w:rFonts w:hint="eastAsia" w:cs="宋体" w:asciiTheme="minorEastAsia" w:hAnsiTheme="minorEastAsia" w:eastAsiaTheme="minorEastAsia"/>
          <w:color w:val="000000" w:themeColor="text1"/>
          <w:szCs w:val="21"/>
          <w14:textFill>
            <w14:solidFill>
              <w14:schemeClr w14:val="tx1"/>
            </w14:solidFill>
          </w14:textFill>
        </w:rPr>
        <w:t>理财产品份额净值</w:t>
      </w:r>
      <w:r>
        <w:rPr>
          <w:rFonts w:cs="宋体" w:asciiTheme="minorEastAsia" w:hAnsiTheme="minorEastAsia" w:eastAsiaTheme="minorEastAsia"/>
          <w:color w:val="000000" w:themeColor="text1"/>
          <w:szCs w:val="21"/>
          <w14:textFill>
            <w14:solidFill>
              <w14:schemeClr w14:val="tx1"/>
            </w14:solidFill>
          </w14:textFill>
        </w:rPr>
        <w:t>=理财产品资产净值÷理财产品总份额</w:t>
      </w:r>
      <w:r>
        <w:rPr>
          <w:rFonts w:hint="eastAsia" w:asciiTheme="minorEastAsia" w:hAnsiTheme="minorEastAsia" w:eastAsiaTheme="minorEastAsia"/>
          <w:color w:val="000000" w:themeColor="text1"/>
          <w:szCs w:val="21"/>
          <w14:textFill>
            <w14:solidFill>
              <w14:schemeClr w14:val="tx1"/>
            </w14:solidFill>
          </w14:textFill>
        </w:rPr>
        <w:t>。</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themeColor="text1"/>
          <w:szCs w:val="21"/>
          <w14:textFill>
            <w14:solidFill>
              <w14:schemeClr w14:val="tx1"/>
            </w14:solidFill>
          </w14:textFill>
        </w:rPr>
        <w:t>15</w:t>
      </w:r>
      <w:r>
        <w:rPr>
          <w:rFonts w:hint="eastAsia" w:asciiTheme="minorEastAsia" w:hAnsiTheme="minorEastAsia" w:eastAsiaTheme="minorEastAsia"/>
          <w:b/>
          <w:color w:val="000000" w:themeColor="text1"/>
          <w:szCs w:val="21"/>
          <w14:textFill>
            <w14:solidFill>
              <w14:schemeClr w14:val="tx1"/>
            </w14:solidFill>
          </w14:textFill>
        </w:rPr>
        <w:t>）理财产品估值：</w:t>
      </w:r>
      <w:r>
        <w:rPr>
          <w:rFonts w:hint="eastAsia" w:asciiTheme="minorEastAsia" w:hAnsiTheme="minorEastAsia" w:eastAsiaTheme="minorEastAsia"/>
          <w:color w:val="000000" w:themeColor="text1"/>
          <w:szCs w:val="21"/>
          <w14:textFill>
            <w14:solidFill>
              <w14:schemeClr w14:val="tx1"/>
            </w14:solidFill>
          </w14:textFill>
        </w:rPr>
        <w:t>指计算评估理财产品资产、负债等以确定理财产品资产净值与份额净值的过程。</w:t>
      </w:r>
    </w:p>
    <w:p>
      <w:pPr>
        <w:spacing w:line="360" w:lineRule="auto"/>
        <w:ind w:firstLine="421" w:firstLineChars="200"/>
        <w:rPr>
          <w:rFonts w:asciiTheme="minorEastAsia" w:hAnsiTheme="minorEastAsia" w:eastAsiaTheme="minorEastAsia"/>
          <w:b/>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16</w:t>
      </w:r>
      <w:r>
        <w:rPr>
          <w:rFonts w:hint="eastAsia" w:asciiTheme="minorEastAsia" w:hAnsiTheme="minorEastAsia" w:eastAsiaTheme="minorEastAsia"/>
          <w:b/>
          <w:color w:val="000000"/>
          <w:szCs w:val="21"/>
        </w:rPr>
        <w:t>）</w:t>
      </w:r>
      <w:r>
        <w:rPr>
          <w:rFonts w:hint="eastAsia" w:asciiTheme="minorEastAsia" w:hAnsiTheme="minorEastAsia" w:eastAsiaTheme="minorEastAsia"/>
          <w:b/>
          <w:szCs w:val="21"/>
        </w:rPr>
        <w:t>投资本金</w:t>
      </w:r>
      <w:r>
        <w:rPr>
          <w:rFonts w:hint="eastAsia" w:asciiTheme="minorEastAsia" w:hAnsiTheme="minorEastAsia" w:eastAsiaTheme="minorEastAsia"/>
          <w:szCs w:val="21"/>
        </w:rPr>
        <w:t>：就每一投资者而言，指投资者为认购</w:t>
      </w:r>
      <w:r>
        <w:rPr>
          <w:rFonts w:asciiTheme="minorEastAsia" w:hAnsiTheme="minorEastAsia" w:eastAsiaTheme="minorEastAsia"/>
          <w:szCs w:val="21"/>
        </w:rPr>
        <w:t>/</w:t>
      </w:r>
      <w:r>
        <w:rPr>
          <w:rFonts w:hint="eastAsia" w:asciiTheme="minorEastAsia" w:hAnsiTheme="minorEastAsia" w:eastAsiaTheme="minorEastAsia"/>
          <w:szCs w:val="21"/>
        </w:rPr>
        <w:t>申购理财</w:t>
      </w:r>
      <w:r>
        <w:rPr>
          <w:rFonts w:hint="eastAsia" w:cs="宋体" w:asciiTheme="minorEastAsia" w:hAnsiTheme="minorEastAsia" w:eastAsiaTheme="minorEastAsia"/>
          <w:bCs/>
          <w:iCs/>
          <w:color w:val="000000"/>
          <w:szCs w:val="21"/>
        </w:rPr>
        <w:t>产品</w:t>
      </w:r>
      <w:r>
        <w:rPr>
          <w:rFonts w:hint="eastAsia" w:asciiTheme="minorEastAsia" w:hAnsiTheme="minorEastAsia" w:eastAsiaTheme="minorEastAsia"/>
          <w:szCs w:val="21"/>
        </w:rPr>
        <w:t>份额而向产品管理人</w:t>
      </w:r>
      <w:r>
        <w:rPr>
          <w:rFonts w:hint="eastAsia" w:asciiTheme="minorEastAsia" w:hAnsiTheme="minorEastAsia" w:eastAsiaTheme="minorEastAsia"/>
          <w:spacing w:val="-10"/>
          <w:szCs w:val="21"/>
        </w:rPr>
        <w:t>交付的货币资金。</w:t>
      </w:r>
      <w:r>
        <w:rPr>
          <w:rFonts w:hint="eastAsia" w:asciiTheme="minorEastAsia" w:hAnsiTheme="minorEastAsia" w:eastAsiaTheme="minorEastAsia"/>
          <w:b/>
          <w:spacing w:val="-1"/>
          <w:szCs w:val="21"/>
        </w:rPr>
        <w:t>为避免疑义，投资本金的称谓仅为</w:t>
      </w:r>
      <w:r>
        <w:rPr>
          <w:rFonts w:hint="eastAsia" w:asciiTheme="minorEastAsia" w:hAnsiTheme="minorEastAsia" w:eastAsiaTheme="minorEastAsia"/>
          <w:b/>
          <w:szCs w:val="21"/>
        </w:rPr>
        <w:t>方便计算理财</w:t>
      </w:r>
      <w:r>
        <w:rPr>
          <w:rFonts w:hint="eastAsia" w:cs="宋体" w:asciiTheme="minorEastAsia" w:hAnsiTheme="minorEastAsia" w:eastAsiaTheme="minorEastAsia"/>
          <w:b/>
          <w:bCs/>
          <w:iCs/>
          <w:color w:val="000000"/>
          <w:szCs w:val="21"/>
        </w:rPr>
        <w:t>产品</w:t>
      </w:r>
      <w:r>
        <w:rPr>
          <w:rFonts w:hint="eastAsia" w:asciiTheme="minorEastAsia" w:hAnsiTheme="minorEastAsia" w:eastAsiaTheme="minorEastAsia"/>
          <w:b/>
          <w:szCs w:val="21"/>
        </w:rPr>
        <w:t>利益而创设，并非为管理人对投资者投资本金不受损失的承诺。</w:t>
      </w:r>
    </w:p>
    <w:p>
      <w:pPr>
        <w:spacing w:line="360" w:lineRule="auto"/>
        <w:ind w:firstLine="421" w:firstLineChars="200"/>
        <w:rPr>
          <w:rFonts w:asciiTheme="minorEastAsia" w:hAnsiTheme="minorEastAsia" w:eastAsiaTheme="minorEastAsia"/>
          <w:szCs w:val="21"/>
        </w:rPr>
      </w:pPr>
      <w:r>
        <w:rPr>
          <w:rFonts w:hint="eastAsia" w:asciiTheme="minorEastAsia" w:hAnsiTheme="minorEastAsia" w:eastAsiaTheme="minorEastAsia"/>
          <w:b/>
          <w:szCs w:val="21"/>
        </w:rPr>
        <w:t>（</w:t>
      </w:r>
      <w:r>
        <w:rPr>
          <w:rFonts w:asciiTheme="minorEastAsia" w:hAnsiTheme="minorEastAsia" w:eastAsiaTheme="minorEastAsia"/>
          <w:b/>
          <w:szCs w:val="21"/>
        </w:rPr>
        <w:t>17</w:t>
      </w:r>
      <w:r>
        <w:rPr>
          <w:rFonts w:hint="eastAsia" w:asciiTheme="minorEastAsia" w:hAnsiTheme="minorEastAsia" w:eastAsiaTheme="minorEastAsia"/>
          <w:b/>
          <w:szCs w:val="21"/>
        </w:rPr>
        <w:t>）理财产品</w:t>
      </w:r>
      <w:r>
        <w:rPr>
          <w:rFonts w:asciiTheme="minorEastAsia" w:hAnsiTheme="minorEastAsia" w:eastAsiaTheme="minorEastAsia"/>
          <w:b/>
          <w:szCs w:val="21"/>
        </w:rPr>
        <w:t>利益：</w:t>
      </w:r>
      <w:r>
        <w:rPr>
          <w:rFonts w:asciiTheme="minorEastAsia" w:hAnsiTheme="minorEastAsia" w:eastAsiaTheme="minorEastAsia"/>
          <w:szCs w:val="21"/>
        </w:rPr>
        <w:t>指投资者因持有</w:t>
      </w:r>
      <w:r>
        <w:rPr>
          <w:rFonts w:hint="eastAsia" w:asciiTheme="minorEastAsia" w:hAnsiTheme="minorEastAsia" w:eastAsiaTheme="minorEastAsia"/>
          <w:szCs w:val="21"/>
        </w:rPr>
        <w:t>理财产品</w:t>
      </w:r>
      <w:r>
        <w:rPr>
          <w:rFonts w:asciiTheme="minorEastAsia" w:hAnsiTheme="minorEastAsia" w:eastAsiaTheme="minorEastAsia"/>
          <w:szCs w:val="21"/>
        </w:rPr>
        <w:t>份额，按照</w:t>
      </w:r>
      <w:r>
        <w:rPr>
          <w:rFonts w:hint="eastAsia" w:asciiTheme="minorEastAsia" w:hAnsiTheme="minorEastAsia" w:eastAsiaTheme="minorEastAsia"/>
          <w:szCs w:val="21"/>
        </w:rPr>
        <w:t>理财产品销售文件</w:t>
      </w:r>
      <w:r>
        <w:rPr>
          <w:rFonts w:asciiTheme="minorEastAsia" w:hAnsiTheme="minorEastAsia" w:eastAsiaTheme="minorEastAsia"/>
          <w:szCs w:val="21"/>
        </w:rPr>
        <w:t>约定取得或有权取得的</w:t>
      </w:r>
      <w:r>
        <w:rPr>
          <w:rFonts w:hint="eastAsia" w:asciiTheme="minorEastAsia" w:hAnsiTheme="minorEastAsia" w:eastAsiaTheme="minorEastAsia"/>
          <w:szCs w:val="21"/>
        </w:rPr>
        <w:t>产品管理人</w:t>
      </w:r>
      <w:r>
        <w:rPr>
          <w:rFonts w:asciiTheme="minorEastAsia" w:hAnsiTheme="minorEastAsia" w:eastAsiaTheme="minorEastAsia"/>
          <w:szCs w:val="21"/>
        </w:rPr>
        <w:t>分配的</w:t>
      </w:r>
      <w:r>
        <w:rPr>
          <w:rFonts w:hint="eastAsia" w:asciiTheme="minorEastAsia" w:hAnsiTheme="minorEastAsia" w:eastAsiaTheme="minorEastAsia"/>
          <w:szCs w:val="21"/>
        </w:rPr>
        <w:t>理财产品</w:t>
      </w:r>
      <w:r>
        <w:rPr>
          <w:rFonts w:asciiTheme="minorEastAsia" w:hAnsiTheme="minorEastAsia" w:eastAsiaTheme="minorEastAsia"/>
          <w:szCs w:val="21"/>
        </w:rPr>
        <w:t>资产</w:t>
      </w:r>
      <w:r>
        <w:rPr>
          <w:rFonts w:hint="eastAsia" w:asciiTheme="minorEastAsia" w:hAnsiTheme="minorEastAsia" w:eastAsiaTheme="minorEastAsia"/>
          <w:szCs w:val="21"/>
        </w:rPr>
        <w:t>，在本产品所投资资产全部变现的情况下，</w:t>
      </w:r>
      <w:r>
        <w:rPr>
          <w:rFonts w:asciiTheme="minorEastAsia" w:hAnsiTheme="minorEastAsia" w:eastAsiaTheme="minorEastAsia"/>
          <w:szCs w:val="21"/>
        </w:rPr>
        <w:t>包括</w:t>
      </w:r>
      <w:r>
        <w:rPr>
          <w:rFonts w:hint="eastAsia" w:asciiTheme="minorEastAsia" w:hAnsiTheme="minorEastAsia" w:eastAsiaTheme="minorEastAsia"/>
          <w:szCs w:val="21"/>
        </w:rPr>
        <w:t>投资</w:t>
      </w:r>
      <w:r>
        <w:rPr>
          <w:rFonts w:asciiTheme="minorEastAsia" w:hAnsiTheme="minorEastAsia" w:eastAsiaTheme="minorEastAsia"/>
          <w:szCs w:val="21"/>
        </w:rPr>
        <w:t>本金及收益</w:t>
      </w:r>
      <w:r>
        <w:rPr>
          <w:rFonts w:hint="eastAsia" w:asciiTheme="minorEastAsia" w:hAnsiTheme="minorEastAsia" w:eastAsiaTheme="minorEastAsia"/>
          <w:szCs w:val="21"/>
        </w:rPr>
        <w:t>（如有）</w:t>
      </w:r>
      <w:r>
        <w:rPr>
          <w:rFonts w:asciiTheme="minorEastAsia" w:hAnsiTheme="minorEastAsia" w:eastAsiaTheme="minorEastAsia"/>
          <w:szCs w:val="21"/>
        </w:rPr>
        <w:t>。</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18</w:t>
      </w:r>
      <w:r>
        <w:rPr>
          <w:rFonts w:hint="eastAsia" w:asciiTheme="minorEastAsia" w:hAnsiTheme="minorEastAsia" w:eastAsiaTheme="minorEastAsia"/>
          <w:b/>
          <w:color w:val="000000" w:themeColor="text1"/>
          <w:szCs w:val="21"/>
          <w14:textFill>
            <w14:solidFill>
              <w14:schemeClr w14:val="tx1"/>
            </w14:solidFill>
          </w14:textFill>
        </w:rPr>
        <w:t>）理财产品</w:t>
      </w:r>
      <w:r>
        <w:rPr>
          <w:rFonts w:asciiTheme="minorEastAsia" w:hAnsiTheme="minorEastAsia" w:eastAsiaTheme="minorEastAsia"/>
          <w:b/>
          <w:color w:val="000000" w:themeColor="text1"/>
          <w:szCs w:val="21"/>
          <w14:textFill>
            <w14:solidFill>
              <w14:schemeClr w14:val="tx1"/>
            </w14:solidFill>
          </w14:textFill>
        </w:rPr>
        <w:t>收益</w:t>
      </w:r>
      <w:r>
        <w:rPr>
          <w:rFonts w:asciiTheme="minorEastAsia" w:hAnsiTheme="minorEastAsia" w:eastAsiaTheme="minorEastAsia"/>
          <w:color w:val="000000" w:themeColor="text1"/>
          <w:szCs w:val="21"/>
          <w14:textFill>
            <w14:solidFill>
              <w14:schemeClr w14:val="tx1"/>
            </w14:solidFill>
          </w14:textFill>
        </w:rPr>
        <w:t>：指投资者投资</w:t>
      </w:r>
      <w:r>
        <w:rPr>
          <w:rFonts w:hint="eastAsia" w:asciiTheme="minorEastAsia" w:hAnsiTheme="minorEastAsia" w:eastAsiaTheme="minorEastAsia"/>
          <w:color w:val="000000" w:themeColor="text1"/>
          <w:szCs w:val="21"/>
          <w14:textFill>
            <w14:solidFill>
              <w14:schemeClr w14:val="tx1"/>
            </w14:solidFill>
          </w14:textFill>
        </w:rPr>
        <w:t>理财产品</w:t>
      </w:r>
      <w:r>
        <w:rPr>
          <w:rFonts w:asciiTheme="minorEastAsia" w:hAnsiTheme="minorEastAsia" w:eastAsiaTheme="minorEastAsia"/>
          <w:color w:val="000000" w:themeColor="text1"/>
          <w:szCs w:val="21"/>
          <w14:textFill>
            <w14:solidFill>
              <w14:schemeClr w14:val="tx1"/>
            </w14:solidFill>
          </w14:textFill>
        </w:rPr>
        <w:t>获得的投资收益，该收益为其获得分配的全部</w:t>
      </w:r>
      <w:r>
        <w:rPr>
          <w:rFonts w:hint="eastAsia" w:asciiTheme="minorEastAsia" w:hAnsiTheme="minorEastAsia" w:eastAsiaTheme="minorEastAsia"/>
          <w:color w:val="000000" w:themeColor="text1"/>
          <w:szCs w:val="21"/>
          <w14:textFill>
            <w14:solidFill>
              <w14:schemeClr w14:val="tx1"/>
            </w14:solidFill>
          </w14:textFill>
        </w:rPr>
        <w:t>理财产品</w:t>
      </w:r>
      <w:r>
        <w:rPr>
          <w:rFonts w:asciiTheme="minorEastAsia" w:hAnsiTheme="minorEastAsia" w:eastAsiaTheme="minorEastAsia"/>
          <w:color w:val="000000" w:themeColor="text1"/>
          <w:szCs w:val="21"/>
          <w14:textFill>
            <w14:solidFill>
              <w14:schemeClr w14:val="tx1"/>
            </w14:solidFill>
          </w14:textFill>
        </w:rPr>
        <w:t>利益中扣除投资本金的部分</w:t>
      </w:r>
      <w:r>
        <w:rPr>
          <w:rFonts w:hint="eastAsia" w:asciiTheme="minorEastAsia" w:hAnsiTheme="minorEastAsia" w:eastAsiaTheme="minorEastAsia"/>
          <w:color w:val="000000" w:themeColor="text1"/>
          <w:szCs w:val="21"/>
          <w14:textFill>
            <w14:solidFill>
              <w14:schemeClr w14:val="tx1"/>
            </w14:solidFill>
          </w14:textFill>
        </w:rPr>
        <w:t>。</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19</w:t>
      </w:r>
      <w:r>
        <w:rPr>
          <w:rFonts w:hint="eastAsia" w:asciiTheme="minorEastAsia" w:hAnsiTheme="minorEastAsia" w:eastAsiaTheme="minorEastAsia"/>
          <w:b/>
          <w:color w:val="000000" w:themeColor="text1"/>
          <w:szCs w:val="21"/>
          <w14:textFill>
            <w14:solidFill>
              <w14:schemeClr w14:val="tx1"/>
            </w14:solidFill>
          </w14:textFill>
        </w:rPr>
        <w:t>）利益</w:t>
      </w:r>
      <w:r>
        <w:rPr>
          <w:rFonts w:asciiTheme="minorEastAsia" w:hAnsiTheme="minorEastAsia" w:eastAsiaTheme="minorEastAsia"/>
          <w:b/>
          <w:color w:val="000000" w:themeColor="text1"/>
          <w:szCs w:val="21"/>
          <w14:textFill>
            <w14:solidFill>
              <w14:schemeClr w14:val="tx1"/>
            </w14:solidFill>
          </w14:textFill>
        </w:rPr>
        <w:t>分配：</w:t>
      </w:r>
      <w:r>
        <w:rPr>
          <w:rFonts w:hint="eastAsia" w:cs="宋体" w:asciiTheme="minorEastAsia" w:hAnsiTheme="minorEastAsia" w:eastAsiaTheme="minorEastAsia"/>
          <w:bCs/>
          <w:color w:val="000000" w:themeColor="text1"/>
          <w:szCs w:val="21"/>
          <w14:textFill>
            <w14:solidFill>
              <w14:schemeClr w14:val="tx1"/>
            </w14:solidFill>
          </w14:textFill>
        </w:rPr>
        <w:t>指产品</w:t>
      </w:r>
      <w:r>
        <w:rPr>
          <w:rFonts w:hint="eastAsia" w:asciiTheme="minorEastAsia" w:hAnsiTheme="minorEastAsia" w:eastAsiaTheme="minorEastAsia"/>
          <w:color w:val="000000" w:themeColor="text1"/>
          <w:szCs w:val="21"/>
          <w14:textFill>
            <w14:solidFill>
              <w14:schemeClr w14:val="tx1"/>
            </w14:solidFill>
          </w14:textFill>
        </w:rPr>
        <w:t>管理人向投资者进行理财产品利益分配。</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20</w:t>
      </w:r>
      <w:r>
        <w:rPr>
          <w:rFonts w:hint="eastAsia" w:asciiTheme="minorEastAsia" w:hAnsiTheme="minorEastAsia" w:eastAsiaTheme="minorEastAsia"/>
          <w:b/>
          <w:color w:val="000000" w:themeColor="text1"/>
          <w:szCs w:val="21"/>
          <w14:textFill>
            <w14:solidFill>
              <w14:schemeClr w14:val="tx1"/>
            </w14:solidFill>
          </w14:textFill>
        </w:rPr>
        <w:t>）收益</w:t>
      </w:r>
      <w:r>
        <w:rPr>
          <w:rFonts w:asciiTheme="minorEastAsia" w:hAnsiTheme="minorEastAsia" w:eastAsiaTheme="minorEastAsia"/>
          <w:b/>
          <w:color w:val="000000" w:themeColor="text1"/>
          <w:szCs w:val="21"/>
          <w14:textFill>
            <w14:solidFill>
              <w14:schemeClr w14:val="tx1"/>
            </w14:solidFill>
          </w14:textFill>
        </w:rPr>
        <w:t>分配：</w:t>
      </w:r>
      <w:r>
        <w:rPr>
          <w:rFonts w:hint="eastAsia" w:cs="宋体" w:asciiTheme="minorEastAsia" w:hAnsiTheme="minorEastAsia" w:eastAsiaTheme="minorEastAsia"/>
          <w:bCs/>
          <w:color w:val="000000" w:themeColor="text1"/>
          <w:szCs w:val="21"/>
          <w14:textFill>
            <w14:solidFill>
              <w14:schemeClr w14:val="tx1"/>
            </w14:solidFill>
          </w14:textFill>
        </w:rPr>
        <w:t>指产品</w:t>
      </w:r>
      <w:r>
        <w:rPr>
          <w:rFonts w:hint="eastAsia" w:asciiTheme="minorEastAsia" w:hAnsiTheme="minorEastAsia" w:eastAsiaTheme="minorEastAsia"/>
          <w:color w:val="000000" w:themeColor="text1"/>
          <w:szCs w:val="21"/>
          <w14:textFill>
            <w14:solidFill>
              <w14:schemeClr w14:val="tx1"/>
            </w14:solidFill>
          </w14:textFill>
        </w:rPr>
        <w:t>管理人向投资者进行理财产品收益分配。</w:t>
      </w:r>
    </w:p>
    <w:p>
      <w:pPr>
        <w:spacing w:line="360" w:lineRule="auto"/>
        <w:ind w:firstLine="421" w:firstLineChars="200"/>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4.相关账户用语</w:t>
      </w:r>
    </w:p>
    <w:p>
      <w:pPr>
        <w:spacing w:line="360" w:lineRule="auto"/>
        <w:ind w:firstLine="421" w:firstLineChars="200"/>
        <w:rPr>
          <w:rFonts w:asciiTheme="minorEastAsia" w:hAnsiTheme="minorEastAsia" w:eastAsiaTheme="minorEastAsia"/>
          <w:color w:val="000000"/>
          <w:szCs w:val="21"/>
        </w:rPr>
      </w:pPr>
      <w:r>
        <w:rPr>
          <w:rFonts w:hint="eastAsia" w:cs="微软雅黑" w:asciiTheme="minorEastAsia" w:hAnsiTheme="minorEastAsia" w:eastAsiaTheme="minorEastAsia"/>
          <w:b/>
          <w:color w:val="000000"/>
          <w:szCs w:val="21"/>
        </w:rPr>
        <w:t>托管账户：</w:t>
      </w:r>
      <w:r>
        <w:rPr>
          <w:rFonts w:hint="eastAsia" w:cs="微软雅黑" w:asciiTheme="minorEastAsia" w:hAnsiTheme="minorEastAsia" w:eastAsiaTheme="minorEastAsia"/>
          <w:color w:val="000000"/>
          <w:szCs w:val="21"/>
        </w:rPr>
        <w:t>指产品管理人以理财产品的名义在托管人处开立的资金管理账户，理财产品资金的一切收支活动，均必须通过该账户进行。</w:t>
      </w:r>
    </w:p>
    <w:p>
      <w:pPr>
        <w:spacing w:line="360" w:lineRule="auto"/>
        <w:ind w:firstLine="421" w:firstLineChars="200"/>
        <w:rPr>
          <w:rFonts w:asciiTheme="minorEastAsia" w:hAnsiTheme="minorEastAsia" w:eastAsiaTheme="minorEastAsia"/>
          <w:b/>
          <w:color w:val="000000"/>
          <w:szCs w:val="21"/>
        </w:rPr>
      </w:pPr>
      <w:r>
        <w:rPr>
          <w:rFonts w:asciiTheme="minorEastAsia" w:hAnsiTheme="minorEastAsia" w:eastAsiaTheme="minorEastAsia"/>
          <w:b/>
          <w:color w:val="000000"/>
          <w:szCs w:val="21"/>
        </w:rPr>
        <w:t>5.</w:t>
      </w:r>
      <w:r>
        <w:rPr>
          <w:rFonts w:asciiTheme="minorEastAsia" w:hAnsiTheme="minorEastAsia" w:eastAsiaTheme="minorEastAsia"/>
          <w:b/>
          <w:szCs w:val="21"/>
        </w:rPr>
        <w:t>期间与日期</w:t>
      </w:r>
    </w:p>
    <w:p>
      <w:pPr>
        <w:spacing w:line="360" w:lineRule="auto"/>
        <w:ind w:firstLine="421" w:firstLineChars="200"/>
        <w:rPr>
          <w:rFonts w:cs="Noto Sans Mono CJK JP Bold" w:asciiTheme="minorEastAsia" w:hAnsiTheme="minorEastAsia" w:eastAsiaTheme="minorEastAsia"/>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w:t>
      </w:r>
      <w:r>
        <w:rPr>
          <w:rFonts w:hint="eastAsia" w:cs="微软雅黑" w:asciiTheme="minorEastAsia" w:hAnsiTheme="minorEastAsia" w:eastAsiaTheme="minorEastAsia"/>
          <w:b/>
          <w:color w:val="000000"/>
          <w:szCs w:val="21"/>
        </w:rPr>
        <w:t>工作日：</w:t>
      </w:r>
      <w:r>
        <w:rPr>
          <w:rFonts w:hint="eastAsia" w:cs="微软雅黑" w:asciiTheme="minorEastAsia" w:hAnsiTheme="minorEastAsia" w:eastAsiaTheme="minorEastAsia"/>
          <w:color w:val="000000"/>
          <w:szCs w:val="21"/>
        </w:rPr>
        <w:t>指国家法定工作日。</w:t>
      </w:r>
    </w:p>
    <w:p>
      <w:pPr>
        <w:spacing w:line="360" w:lineRule="auto"/>
        <w:ind w:firstLine="421" w:firstLineChars="200"/>
        <w:rPr>
          <w:rFonts w:asciiTheme="minorEastAsia" w:hAnsiTheme="minorEastAsia" w:eastAsiaTheme="minorEastAsia"/>
          <w:spacing w:val="-3"/>
          <w:szCs w:val="21"/>
        </w:rPr>
      </w:pPr>
      <w:r>
        <w:rPr>
          <w:rFonts w:hint="eastAsia" w:cs="微软雅黑" w:asciiTheme="minorEastAsia" w:hAnsiTheme="minorEastAsia" w:eastAsiaTheme="minorEastAsia"/>
          <w:b/>
          <w:szCs w:val="21"/>
        </w:rPr>
        <w:t>（</w:t>
      </w:r>
      <w:r>
        <w:rPr>
          <w:rFonts w:cs="微软雅黑" w:asciiTheme="minorEastAsia" w:hAnsiTheme="minorEastAsia" w:eastAsiaTheme="minorEastAsia"/>
          <w:b/>
          <w:szCs w:val="21"/>
        </w:rPr>
        <w:t>2）</w:t>
      </w:r>
      <w:r>
        <w:rPr>
          <w:rFonts w:hint="eastAsia" w:cs="微软雅黑" w:asciiTheme="minorEastAsia" w:hAnsiTheme="minorEastAsia" w:eastAsiaTheme="minorEastAsia"/>
          <w:b/>
          <w:szCs w:val="21"/>
        </w:rPr>
        <w:t>交易日：</w:t>
      </w:r>
      <w:r>
        <w:rPr>
          <w:rFonts w:asciiTheme="minorEastAsia" w:hAnsiTheme="minorEastAsia" w:eastAsiaTheme="minorEastAsia"/>
          <w:spacing w:val="-3"/>
          <w:szCs w:val="21"/>
        </w:rPr>
        <w:t>指上海证券交易所</w:t>
      </w: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深圳证券交易所</w:t>
      </w:r>
      <w:r>
        <w:rPr>
          <w:rFonts w:hint="eastAsia" w:asciiTheme="minorEastAsia" w:hAnsiTheme="minorEastAsia" w:eastAsiaTheme="minorEastAsia"/>
          <w:spacing w:val="-3"/>
          <w:szCs w:val="21"/>
        </w:rPr>
        <w:t>和北京证券交易所</w:t>
      </w:r>
      <w:r>
        <w:rPr>
          <w:rFonts w:asciiTheme="minorEastAsia" w:hAnsiTheme="minorEastAsia" w:eastAsiaTheme="minorEastAsia"/>
          <w:spacing w:val="-3"/>
          <w:szCs w:val="21"/>
        </w:rPr>
        <w:t>的正常开盘交易日。</w:t>
      </w:r>
    </w:p>
    <w:p>
      <w:pPr>
        <w:spacing w:line="360" w:lineRule="auto"/>
        <w:ind w:firstLine="421" w:firstLineChars="200"/>
        <w:rPr>
          <w:rFonts w:asciiTheme="minorEastAsia" w:hAnsiTheme="minorEastAsia" w:eastAsiaTheme="minorEastAsia"/>
          <w:color w:val="000000"/>
          <w:szCs w:val="21"/>
        </w:rPr>
      </w:pPr>
      <w:r>
        <w:rPr>
          <w:rFonts w:hint="eastAsia" w:cs="微软雅黑" w:asciiTheme="minorEastAsia" w:hAnsiTheme="minorEastAsia" w:eastAsiaTheme="minorEastAsia"/>
          <w:b/>
          <w:color w:val="000000"/>
          <w:szCs w:val="21"/>
        </w:rPr>
        <w:t>（</w:t>
      </w:r>
      <w:r>
        <w:rPr>
          <w:rFonts w:cs="微软雅黑" w:asciiTheme="minorEastAsia" w:hAnsiTheme="minorEastAsia" w:eastAsiaTheme="minorEastAsia"/>
          <w:b/>
          <w:color w:val="000000"/>
          <w:szCs w:val="21"/>
        </w:rPr>
        <w:t>3）</w:t>
      </w:r>
      <w:r>
        <w:rPr>
          <w:rFonts w:hint="eastAsia" w:cs="微软雅黑" w:asciiTheme="minorEastAsia" w:hAnsiTheme="minorEastAsia" w:eastAsiaTheme="minorEastAsia"/>
          <w:b/>
          <w:color w:val="000000"/>
          <w:szCs w:val="21"/>
        </w:rPr>
        <w:t>认购期：</w:t>
      </w:r>
      <w:r>
        <w:rPr>
          <w:rFonts w:hint="eastAsia" w:cs="微软雅黑" w:asciiTheme="minorEastAsia" w:hAnsiTheme="minorEastAsia" w:eastAsiaTheme="minorEastAsia"/>
          <w:color w:val="000000"/>
          <w:szCs w:val="21"/>
        </w:rPr>
        <w:t>指理财产品成立前，产品管理人接受投资者认购本理财产品的时间。</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4</w:t>
      </w:r>
      <w:r>
        <w:rPr>
          <w:rFonts w:hint="eastAsia" w:asciiTheme="minorEastAsia" w:hAnsiTheme="minorEastAsia" w:eastAsiaTheme="minorEastAsia"/>
          <w:b/>
          <w:color w:val="000000"/>
          <w:szCs w:val="21"/>
        </w:rPr>
        <w:t>）产品成立日：</w:t>
      </w:r>
      <w:r>
        <w:rPr>
          <w:rFonts w:hint="eastAsia" w:asciiTheme="minorEastAsia" w:hAnsiTheme="minorEastAsia" w:eastAsiaTheme="minorEastAsia"/>
          <w:color w:val="000000"/>
          <w:szCs w:val="21"/>
        </w:rPr>
        <w:t>指达到本《产品</w:t>
      </w:r>
      <w:r>
        <w:rPr>
          <w:rFonts w:hint="eastAsia" w:cs="宋体" w:asciiTheme="minorEastAsia" w:hAnsiTheme="minorEastAsia" w:eastAsiaTheme="minorEastAsia"/>
          <w:bCs/>
          <w:iCs/>
          <w:color w:val="000000"/>
          <w:szCs w:val="21"/>
        </w:rPr>
        <w:t>说明书》</w:t>
      </w:r>
      <w:r>
        <w:rPr>
          <w:rFonts w:hint="eastAsia" w:asciiTheme="minorEastAsia" w:hAnsiTheme="minorEastAsia" w:eastAsiaTheme="minorEastAsia"/>
          <w:color w:val="000000"/>
          <w:szCs w:val="21"/>
        </w:rPr>
        <w:t>约定的成立条件后理财产品成立的日期。</w:t>
      </w:r>
    </w:p>
    <w:p>
      <w:pPr>
        <w:autoSpaceDE w:val="0"/>
        <w:autoSpaceDN w:val="0"/>
        <w:spacing w:line="360" w:lineRule="auto"/>
        <w:ind w:firstLine="424"/>
        <w:rPr>
          <w:rFonts w:asciiTheme="minorEastAsia" w:hAnsiTheme="minorEastAsia" w:eastAsiaTheme="minorEastAsia"/>
          <w:b/>
          <w:color w:val="000000"/>
          <w:szCs w:val="21"/>
        </w:rPr>
      </w:pPr>
      <w:r>
        <w:rPr>
          <w:rFonts w:hint="eastAsia" w:asciiTheme="minorEastAsia" w:hAnsiTheme="minorEastAsia" w:eastAsiaTheme="minorEastAsia"/>
          <w:b/>
          <w:color w:val="000000"/>
          <w:szCs w:val="21"/>
        </w:rPr>
        <w:t>（5</w:t>
      </w:r>
      <w:r>
        <w:rPr>
          <w:rFonts w:asciiTheme="minorEastAsia" w:hAnsiTheme="minorEastAsia" w:eastAsiaTheme="minorEastAsia"/>
          <w:b/>
          <w:color w:val="000000"/>
          <w:szCs w:val="21"/>
        </w:rPr>
        <w:t>）认购/申购确认日：</w:t>
      </w:r>
      <w:r>
        <w:rPr>
          <w:rFonts w:hint="eastAsia" w:asciiTheme="minorEastAsia" w:hAnsiTheme="minorEastAsia" w:eastAsiaTheme="minorEastAsia"/>
          <w:color w:val="000000"/>
          <w:szCs w:val="21"/>
        </w:rPr>
        <w:t>指管理人确认投资者是否认购</w:t>
      </w:r>
      <w:r>
        <w:rPr>
          <w:rFonts w:asciiTheme="minorEastAsia" w:hAnsiTheme="minorEastAsia" w:eastAsiaTheme="minorEastAsia"/>
          <w:color w:val="000000"/>
          <w:szCs w:val="21"/>
        </w:rPr>
        <w:t>/申购</w:t>
      </w:r>
      <w:r>
        <w:rPr>
          <w:rFonts w:hint="eastAsia" w:asciiTheme="minorEastAsia" w:hAnsiTheme="minorEastAsia" w:eastAsiaTheme="minorEastAsia"/>
          <w:color w:val="000000"/>
          <w:szCs w:val="21"/>
        </w:rPr>
        <w:t>成功的</w:t>
      </w:r>
      <w:r>
        <w:rPr>
          <w:rFonts w:asciiTheme="minorEastAsia" w:hAnsiTheme="minorEastAsia" w:eastAsiaTheme="minorEastAsia"/>
          <w:color w:val="000000"/>
          <w:szCs w:val="21"/>
        </w:rPr>
        <w:t>日期。</w:t>
      </w:r>
    </w:p>
    <w:p>
      <w:pPr>
        <w:autoSpaceDE w:val="0"/>
        <w:autoSpaceDN w:val="0"/>
        <w:spacing w:line="360" w:lineRule="auto"/>
        <w:ind w:firstLine="424"/>
        <w:rPr>
          <w:rFonts w:cs="宋体" w:asciiTheme="minorEastAsia" w:hAnsiTheme="minorEastAsia" w:eastAsiaTheme="minorEastAsia"/>
          <w:b/>
          <w:bCs/>
          <w:color w:val="000000"/>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6</w:t>
      </w:r>
      <w:r>
        <w:rPr>
          <w:rFonts w:cs="宋体" w:asciiTheme="minorEastAsia" w:hAnsiTheme="minorEastAsia" w:eastAsiaTheme="minorEastAsia"/>
          <w:b/>
          <w:bCs/>
          <w:color w:val="000000"/>
          <w:szCs w:val="21"/>
        </w:rPr>
        <w:t>）开放</w:t>
      </w:r>
      <w:r>
        <w:rPr>
          <w:rFonts w:hint="eastAsia" w:cs="宋体" w:asciiTheme="minorEastAsia" w:hAnsiTheme="minorEastAsia" w:eastAsiaTheme="minorEastAsia"/>
          <w:b/>
          <w:bCs/>
          <w:color w:val="000000"/>
          <w:szCs w:val="21"/>
        </w:rPr>
        <w:t>日</w:t>
      </w:r>
      <w:r>
        <w:rPr>
          <w:rFonts w:cs="宋体" w:asciiTheme="minorEastAsia" w:hAnsiTheme="minorEastAsia" w:eastAsiaTheme="minorEastAsia"/>
          <w:b/>
          <w:bCs/>
          <w:color w:val="000000"/>
          <w:szCs w:val="21"/>
        </w:rPr>
        <w:t>：</w:t>
      </w:r>
      <w:r>
        <w:rPr>
          <w:rFonts w:hint="eastAsia" w:cs="宋体" w:asciiTheme="minorEastAsia" w:hAnsiTheme="minorEastAsia" w:eastAsiaTheme="minorEastAsia"/>
          <w:bCs/>
          <w:color w:val="000000"/>
          <w:szCs w:val="21"/>
        </w:rPr>
        <w:t>指理财产品成立后，产品管理人接受投资者对本理财产品发起申购或赎回申请的时间。</w:t>
      </w:r>
    </w:p>
    <w:p>
      <w:pPr>
        <w:autoSpaceDE w:val="0"/>
        <w:autoSpaceDN w:val="0"/>
        <w:spacing w:line="360" w:lineRule="auto"/>
        <w:ind w:firstLine="42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7</w:t>
      </w:r>
      <w:r>
        <w:rPr>
          <w:rFonts w:hint="eastAsia" w:asciiTheme="minorEastAsia" w:hAnsiTheme="minorEastAsia" w:eastAsiaTheme="minorEastAsia"/>
          <w:b/>
          <w:color w:val="000000"/>
          <w:szCs w:val="21"/>
        </w:rPr>
        <w:t>）存续期限：</w:t>
      </w:r>
      <w:r>
        <w:rPr>
          <w:rFonts w:hint="eastAsia" w:asciiTheme="minorEastAsia" w:hAnsiTheme="minorEastAsia" w:eastAsiaTheme="minorEastAsia"/>
          <w:color w:val="000000" w:themeColor="text1"/>
          <w:szCs w:val="21"/>
          <w14:textFill>
            <w14:solidFill>
              <w14:schemeClr w14:val="tx1"/>
            </w14:solidFill>
          </w14:textFill>
        </w:rPr>
        <w:t>指自理财产品成立日起至理财产品到期日。</w:t>
      </w:r>
    </w:p>
    <w:p>
      <w:pPr>
        <w:autoSpaceDE w:val="0"/>
        <w:autoSpaceDN w:val="0"/>
        <w:spacing w:line="360" w:lineRule="auto"/>
        <w:ind w:firstLine="42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themeColor="text1"/>
          <w:szCs w:val="21"/>
          <w14:textFill>
            <w14:solidFill>
              <w14:schemeClr w14:val="tx1"/>
            </w14:solidFill>
          </w14:textFill>
        </w:rPr>
        <w:t>8）产品到期日</w:t>
      </w:r>
      <w:r>
        <w:rPr>
          <w:rFonts w:hint="eastAsia" w:asciiTheme="minorEastAsia" w:hAnsiTheme="minorEastAsia" w:eastAsiaTheme="minorEastAsia"/>
          <w:b/>
          <w:color w:val="000000" w:themeColor="text1"/>
          <w:szCs w:val="21"/>
          <w14:textFill>
            <w14:solidFill>
              <w14:schemeClr w14:val="tx1"/>
            </w14:solidFill>
          </w14:textFill>
        </w:rPr>
        <w:t>/终止日</w:t>
      </w:r>
      <w:r>
        <w:rPr>
          <w:rFonts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指理财产品实际终止之日。</w:t>
      </w:r>
    </w:p>
    <w:p>
      <w:pPr>
        <w:spacing w:line="360" w:lineRule="auto"/>
        <w:ind w:firstLine="421"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9）估值日：</w:t>
      </w:r>
      <w:r>
        <w:rPr>
          <w:rFonts w:hint="eastAsia" w:asciiTheme="minorEastAsia" w:hAnsiTheme="minorEastAsia" w:eastAsiaTheme="minorEastAsia"/>
          <w:color w:val="000000" w:themeColor="text1"/>
          <w:szCs w:val="21"/>
          <w14:textFill>
            <w14:solidFill>
              <w14:schemeClr w14:val="tx1"/>
            </w14:solidFill>
          </w14:textFill>
        </w:rPr>
        <w:t>指计算评估理财产品资产、负债等以计算本理财产品每万份已实现收益和七日年化收益率的日期。</w:t>
      </w:r>
    </w:p>
    <w:p>
      <w:pPr>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10）清算期：</w:t>
      </w:r>
      <w:r>
        <w:rPr>
          <w:rFonts w:hint="eastAsia" w:asciiTheme="minorEastAsia" w:hAnsiTheme="minorEastAsia" w:eastAsiaTheme="minorEastAsia"/>
          <w:color w:val="000000"/>
          <w:szCs w:val="21"/>
        </w:rPr>
        <w:t>自本理财产品到期日至产品利益分配日之间为本理财产品的清算期。清算期原则上不得超过</w:t>
      </w:r>
      <w:r>
        <w:rPr>
          <w:rFonts w:asciiTheme="minorEastAsia" w:hAnsiTheme="minorEastAsia" w:eastAsiaTheme="minorEastAsia"/>
          <w:color w:val="000000"/>
          <w:szCs w:val="21"/>
        </w:rPr>
        <w:t>5</w:t>
      </w:r>
      <w:r>
        <w:rPr>
          <w:rFonts w:hint="eastAsia" w:asciiTheme="minorEastAsia" w:hAnsiTheme="minorEastAsia" w:eastAsiaTheme="minorEastAsia"/>
          <w:color w:val="000000"/>
          <w:szCs w:val="21"/>
        </w:rPr>
        <w:t>个工作</w:t>
      </w:r>
      <w:r>
        <w:rPr>
          <w:rFonts w:asciiTheme="minorEastAsia" w:hAnsiTheme="minorEastAsia" w:eastAsiaTheme="minorEastAsia"/>
          <w:color w:val="000000"/>
          <w:szCs w:val="21"/>
        </w:rPr>
        <w:t>日，清算期超过5</w:t>
      </w:r>
      <w:r>
        <w:rPr>
          <w:rFonts w:hint="eastAsia" w:asciiTheme="minorEastAsia" w:hAnsiTheme="minorEastAsia" w:eastAsiaTheme="minorEastAsia"/>
          <w:color w:val="000000"/>
          <w:szCs w:val="21"/>
        </w:rPr>
        <w:t>个工作</w:t>
      </w:r>
      <w:r>
        <w:rPr>
          <w:rFonts w:asciiTheme="minorEastAsia" w:hAnsiTheme="minorEastAsia" w:eastAsiaTheme="minorEastAsia"/>
          <w:color w:val="000000"/>
          <w:szCs w:val="21"/>
        </w:rPr>
        <w:t>日的，管理人将在本理财产品终止前根据</w:t>
      </w:r>
      <w:r>
        <w:rPr>
          <w:rFonts w:hint="eastAsia" w:asciiTheme="minorEastAsia" w:hAnsiTheme="minorEastAsia" w:eastAsiaTheme="minorEastAsia"/>
          <w:color w:val="000000"/>
          <w:szCs w:val="21"/>
        </w:rPr>
        <w:t>本《产品</w:t>
      </w:r>
      <w:r>
        <w:rPr>
          <w:rFonts w:hint="eastAsia" w:cs="宋体" w:asciiTheme="minorEastAsia" w:hAnsiTheme="minorEastAsia" w:eastAsiaTheme="minorEastAsia"/>
          <w:bCs/>
          <w:iCs/>
          <w:color w:val="000000"/>
          <w:szCs w:val="21"/>
        </w:rPr>
        <w:t>说明书》</w:t>
      </w:r>
      <w:r>
        <w:rPr>
          <w:rFonts w:hint="eastAsia" w:asciiTheme="minorEastAsia" w:hAnsiTheme="minorEastAsia" w:eastAsiaTheme="minorEastAsia"/>
          <w:color w:val="000000"/>
          <w:szCs w:val="21"/>
        </w:rPr>
        <w:t>约定</w:t>
      </w:r>
      <w:r>
        <w:rPr>
          <w:rFonts w:asciiTheme="minorEastAsia" w:hAnsiTheme="minorEastAsia" w:eastAsiaTheme="minorEastAsia"/>
          <w:color w:val="000000"/>
          <w:szCs w:val="21"/>
        </w:rPr>
        <w:t>进行披露。</w:t>
      </w:r>
    </w:p>
    <w:p>
      <w:pPr>
        <w:snapToGrid w:val="0"/>
        <w:spacing w:line="360" w:lineRule="auto"/>
        <w:ind w:firstLine="421" w:firstLineChars="200"/>
        <w:rPr>
          <w:rFonts w:asciiTheme="minorEastAsia" w:hAnsiTheme="minorEastAsia" w:eastAsiaTheme="minorEastAsia"/>
          <w:color w:val="000000"/>
          <w:szCs w:val="21"/>
        </w:rPr>
      </w:pPr>
      <w:r>
        <w:rPr>
          <w:rFonts w:hint="eastAsia" w:asciiTheme="minorEastAsia" w:hAnsiTheme="minorEastAsia" w:eastAsiaTheme="minorEastAsia"/>
          <w:b/>
          <w:color w:val="000000"/>
          <w:szCs w:val="21"/>
        </w:rPr>
        <w:t>（</w:t>
      </w:r>
      <w:r>
        <w:rPr>
          <w:rFonts w:asciiTheme="minorEastAsia" w:hAnsiTheme="minorEastAsia" w:eastAsiaTheme="minorEastAsia"/>
          <w:b/>
          <w:color w:val="000000"/>
          <w:szCs w:val="21"/>
        </w:rPr>
        <w:t>11</w:t>
      </w:r>
      <w:r>
        <w:rPr>
          <w:rFonts w:hint="eastAsia" w:asciiTheme="minorEastAsia" w:hAnsiTheme="minorEastAsia" w:eastAsiaTheme="minorEastAsia"/>
          <w:b/>
          <w:color w:val="000000"/>
          <w:szCs w:val="21"/>
        </w:rPr>
        <w:t>）节假日临时调整：</w:t>
      </w:r>
      <w:r>
        <w:rPr>
          <w:rFonts w:hint="eastAsia" w:asciiTheme="minorEastAsia" w:hAnsiTheme="minorEastAsia" w:eastAsiaTheme="minorEastAsia"/>
          <w:color w:val="000000"/>
          <w:szCs w:val="21"/>
        </w:rPr>
        <w:t>如因国家相关主管部门临时调整节假日安排，导致本理财产品原定开放日、估值日等日期安排发生变化的，原则上采用顺延方式对原定日期安排进行调整，如有特殊安排，以管理人通过本《产品说明书》约定的信息披露方式披露的调整安排为准。</w:t>
      </w:r>
    </w:p>
    <w:p>
      <w:pPr>
        <w:tabs>
          <w:tab w:val="left" w:pos="786"/>
        </w:tabs>
        <w:autoSpaceDE w:val="0"/>
        <w:autoSpaceDN w:val="0"/>
        <w:spacing w:line="360" w:lineRule="auto"/>
        <w:ind w:firstLine="421" w:firstLineChars="200"/>
        <w:jc w:val="left"/>
        <w:rPr>
          <w:rFonts w:asciiTheme="minorEastAsia" w:hAnsiTheme="minorEastAsia" w:eastAsiaTheme="minorEastAsia"/>
          <w:b/>
          <w:szCs w:val="21"/>
        </w:rPr>
      </w:pPr>
      <w:r>
        <w:rPr>
          <w:rFonts w:asciiTheme="minorEastAsia" w:hAnsiTheme="minorEastAsia" w:eastAsiaTheme="minorEastAsia"/>
          <w:b/>
          <w:szCs w:val="21"/>
        </w:rPr>
        <w:t>6.其他</w:t>
      </w:r>
    </w:p>
    <w:p>
      <w:pPr>
        <w:tabs>
          <w:tab w:val="left" w:pos="786"/>
        </w:tabs>
        <w:autoSpaceDE w:val="0"/>
        <w:autoSpaceDN w:val="0"/>
        <w:spacing w:line="360" w:lineRule="auto"/>
        <w:ind w:firstLine="421" w:firstLineChars="200"/>
        <w:jc w:val="left"/>
        <w:rPr>
          <w:rFonts w:asciiTheme="minorEastAsia" w:hAnsiTheme="minorEastAsia" w:eastAsiaTheme="minorEastAsia"/>
          <w:spacing w:val="-2"/>
          <w:szCs w:val="21"/>
        </w:rPr>
      </w:pPr>
      <w:r>
        <w:rPr>
          <w:rFonts w:hint="eastAsia" w:asciiTheme="minorEastAsia" w:hAnsiTheme="minorEastAsia" w:eastAsiaTheme="minorEastAsia"/>
          <w:b/>
          <w:szCs w:val="21"/>
        </w:rPr>
        <w:t>（</w:t>
      </w:r>
      <w:r>
        <w:rPr>
          <w:rFonts w:asciiTheme="minorEastAsia" w:hAnsiTheme="minorEastAsia" w:eastAsiaTheme="minorEastAsia"/>
          <w:b/>
          <w:szCs w:val="21"/>
        </w:rPr>
        <w:t>1</w:t>
      </w:r>
      <w:r>
        <w:rPr>
          <w:rFonts w:hint="eastAsia" w:asciiTheme="minorEastAsia" w:hAnsiTheme="minorEastAsia" w:eastAsiaTheme="minorEastAsia"/>
          <w:b/>
          <w:szCs w:val="21"/>
        </w:rPr>
        <w:t>）</w:t>
      </w:r>
      <w:r>
        <w:rPr>
          <w:rFonts w:asciiTheme="minorEastAsia" w:hAnsiTheme="minorEastAsia" w:eastAsiaTheme="minorEastAsia"/>
          <w:b/>
          <w:szCs w:val="21"/>
        </w:rPr>
        <w:t>元：</w:t>
      </w:r>
      <w:r>
        <w:rPr>
          <w:rFonts w:asciiTheme="minorEastAsia" w:hAnsiTheme="minorEastAsia" w:eastAsiaTheme="minorEastAsia"/>
          <w:spacing w:val="-2"/>
          <w:szCs w:val="21"/>
        </w:rPr>
        <w:t>指人民币元</w:t>
      </w:r>
      <w:r>
        <w:rPr>
          <w:rFonts w:hint="eastAsia" w:asciiTheme="minorEastAsia" w:hAnsiTheme="minorEastAsia" w:eastAsiaTheme="minorEastAsia"/>
          <w:spacing w:val="-2"/>
          <w:szCs w:val="21"/>
        </w:rPr>
        <w:t>。</w:t>
      </w:r>
    </w:p>
    <w:p>
      <w:pPr>
        <w:tabs>
          <w:tab w:val="left" w:pos="786"/>
        </w:tabs>
        <w:autoSpaceDE w:val="0"/>
        <w:autoSpaceDN w:val="0"/>
        <w:spacing w:line="360" w:lineRule="auto"/>
        <w:ind w:firstLine="421" w:firstLineChars="200"/>
        <w:jc w:val="left"/>
        <w:rPr>
          <w:rFonts w:asciiTheme="minorEastAsia" w:hAnsiTheme="minorEastAsia" w:eastAsiaTheme="minorEastAsia"/>
          <w:szCs w:val="21"/>
        </w:rPr>
      </w:pPr>
      <w:r>
        <w:rPr>
          <w:rFonts w:hint="eastAsia" w:asciiTheme="minorEastAsia" w:hAnsiTheme="minorEastAsia" w:eastAsiaTheme="minorEastAsia"/>
          <w:b/>
          <w:color w:val="000000"/>
          <w:szCs w:val="21"/>
        </w:rPr>
        <w:t>（</w:t>
      </w:r>
      <w:r>
        <w:rPr>
          <w:rFonts w:asciiTheme="minorEastAsia" w:hAnsiTheme="minorEastAsia" w:eastAsiaTheme="minorEastAsia"/>
          <w:b/>
          <w:szCs w:val="21"/>
        </w:rPr>
        <w:t>2</w:t>
      </w:r>
      <w:r>
        <w:rPr>
          <w:rFonts w:hint="eastAsia" w:asciiTheme="minorEastAsia" w:hAnsiTheme="minorEastAsia" w:eastAsiaTheme="minorEastAsia"/>
          <w:b/>
          <w:szCs w:val="21"/>
        </w:rPr>
        <w:t>）时间：</w:t>
      </w:r>
      <w:r>
        <w:rPr>
          <w:rFonts w:hint="eastAsia" w:asciiTheme="minorEastAsia" w:hAnsiTheme="minorEastAsia" w:eastAsiaTheme="minorEastAsia"/>
          <w:szCs w:val="21"/>
        </w:rPr>
        <w:t>指北京时间。</w:t>
      </w:r>
    </w:p>
    <w:p>
      <w:pPr>
        <w:tabs>
          <w:tab w:val="left" w:pos="786"/>
        </w:tabs>
        <w:autoSpaceDE w:val="0"/>
        <w:autoSpaceDN w:val="0"/>
        <w:spacing w:line="360" w:lineRule="auto"/>
        <w:ind w:firstLine="421" w:firstLineChars="200"/>
        <w:rPr>
          <w:rFonts w:asciiTheme="minorEastAsia" w:hAnsiTheme="minorEastAsia" w:eastAsiaTheme="minorEastAsia"/>
          <w:szCs w:val="21"/>
        </w:rPr>
      </w:pPr>
      <w:r>
        <w:rPr>
          <w:rFonts w:hint="eastAsia" w:asciiTheme="minorEastAsia" w:hAnsiTheme="minorEastAsia" w:eastAsiaTheme="minorEastAsia"/>
          <w:b/>
          <w:szCs w:val="21"/>
        </w:rPr>
        <w:t>（</w:t>
      </w:r>
      <w:r>
        <w:rPr>
          <w:rFonts w:asciiTheme="minorEastAsia" w:hAnsiTheme="minorEastAsia" w:eastAsiaTheme="minorEastAsia"/>
          <w:b/>
          <w:szCs w:val="21"/>
        </w:rPr>
        <w:t>3）</w:t>
      </w:r>
      <w:r>
        <w:rPr>
          <w:rFonts w:hint="eastAsia" w:asciiTheme="minorEastAsia" w:hAnsiTheme="minorEastAsia" w:eastAsiaTheme="minorEastAsia"/>
          <w:b/>
          <w:szCs w:val="21"/>
        </w:rPr>
        <w:t>法律法规</w:t>
      </w:r>
      <w:r>
        <w:rPr>
          <w:rFonts w:asciiTheme="minorEastAsia" w:hAnsiTheme="minorEastAsia" w:eastAsiaTheme="minorEastAsia"/>
          <w:b/>
          <w:szCs w:val="21"/>
        </w:rPr>
        <w:t>：</w:t>
      </w:r>
      <w:r>
        <w:rPr>
          <w:rFonts w:asciiTheme="minorEastAsia" w:hAnsiTheme="minorEastAsia" w:eastAsiaTheme="minorEastAsia"/>
          <w:szCs w:val="21"/>
        </w:rPr>
        <w:t>指在理财</w:t>
      </w:r>
      <w:r>
        <w:rPr>
          <w:rFonts w:hint="eastAsia" w:asciiTheme="minorEastAsia" w:hAnsiTheme="minorEastAsia" w:eastAsiaTheme="minorEastAsia"/>
          <w:szCs w:val="21"/>
        </w:rPr>
        <w:t>产品销售文件签署日和履行</w:t>
      </w:r>
      <w:r>
        <w:rPr>
          <w:rFonts w:asciiTheme="minorEastAsia" w:hAnsiTheme="minorEastAsia" w:eastAsiaTheme="minorEastAsia"/>
          <w:szCs w:val="21"/>
        </w:rPr>
        <w:t>过程中，中国任何立法机构、政府部门、中国银行间市场交易商协会、证券交易所、证券登记结算机构、中国证券投资基金业协会</w:t>
      </w:r>
      <w:r>
        <w:rPr>
          <w:rFonts w:hint="eastAsia" w:asciiTheme="minorEastAsia" w:hAnsiTheme="minorEastAsia" w:eastAsiaTheme="minorEastAsia"/>
          <w:szCs w:val="21"/>
        </w:rPr>
        <w:t>等</w:t>
      </w:r>
      <w:r>
        <w:rPr>
          <w:rFonts w:asciiTheme="minorEastAsia" w:hAnsiTheme="minorEastAsia" w:eastAsiaTheme="minorEastAsia"/>
          <w:szCs w:val="21"/>
        </w:rPr>
        <w:t>依法颁布的，适用于本理财</w:t>
      </w:r>
      <w:r>
        <w:rPr>
          <w:rFonts w:hint="eastAsia" w:asciiTheme="minorEastAsia" w:hAnsiTheme="minorEastAsia" w:eastAsiaTheme="minorEastAsia"/>
          <w:szCs w:val="21"/>
        </w:rPr>
        <w:t>产品</w:t>
      </w:r>
      <w:r>
        <w:rPr>
          <w:rFonts w:asciiTheme="minorEastAsia" w:hAnsiTheme="minorEastAsia" w:eastAsiaTheme="minorEastAsia"/>
          <w:szCs w:val="21"/>
        </w:rPr>
        <w:t>相关事宜的法律、行政法规、地方法规、部委规章、地方政府规章、规范性文件、规则、通知、须知、业务指南、指引或操作规程，及其有效的修改、更新或补充。</w:t>
      </w:r>
    </w:p>
    <w:p>
      <w:pPr>
        <w:tabs>
          <w:tab w:val="left" w:pos="786"/>
        </w:tabs>
        <w:autoSpaceDE w:val="0"/>
        <w:autoSpaceDN w:val="0"/>
        <w:spacing w:line="360" w:lineRule="auto"/>
        <w:ind w:firstLine="421" w:firstLineChars="200"/>
        <w:jc w:val="left"/>
        <w:rPr>
          <w:rFonts w:asciiTheme="minorEastAsia" w:hAnsiTheme="minorEastAsia" w:eastAsiaTheme="minorEastAsia"/>
          <w:spacing w:val="-3"/>
          <w:szCs w:val="21"/>
        </w:rPr>
      </w:pPr>
      <w:r>
        <w:rPr>
          <w:rFonts w:hint="eastAsia" w:asciiTheme="minorEastAsia" w:hAnsiTheme="minorEastAsia" w:eastAsiaTheme="minorEastAsia"/>
          <w:b/>
          <w:szCs w:val="21"/>
        </w:rPr>
        <w:t>（4）</w:t>
      </w:r>
      <w:r>
        <w:rPr>
          <w:rFonts w:asciiTheme="minorEastAsia" w:hAnsiTheme="minorEastAsia" w:eastAsiaTheme="minorEastAsia"/>
          <w:b/>
          <w:szCs w:val="21"/>
        </w:rPr>
        <w:t>不可抗力</w:t>
      </w:r>
      <w:r>
        <w:rPr>
          <w:rFonts w:hint="eastAsia" w:asciiTheme="minorEastAsia" w:hAnsiTheme="minorEastAsia" w:eastAsiaTheme="minorEastAsia"/>
          <w:b/>
          <w:szCs w:val="21"/>
        </w:rPr>
        <w:t>：</w:t>
      </w:r>
      <w:r>
        <w:rPr>
          <w:rFonts w:asciiTheme="minorEastAsia" w:hAnsiTheme="minorEastAsia" w:eastAsiaTheme="minorEastAsia"/>
          <w:szCs w:val="21"/>
        </w:rPr>
        <w:t>指</w:t>
      </w:r>
      <w:r>
        <w:rPr>
          <w:rFonts w:hint="eastAsia" w:cs="微软雅黑" w:asciiTheme="minorEastAsia" w:hAnsiTheme="minorEastAsia" w:eastAsiaTheme="minorEastAsia"/>
          <w:szCs w:val="21"/>
        </w:rPr>
        <w:t>理财产品</w:t>
      </w:r>
      <w:r>
        <w:rPr>
          <w:rFonts w:asciiTheme="minorEastAsia" w:hAnsiTheme="minorEastAsia" w:eastAsiaTheme="minorEastAsia"/>
          <w:szCs w:val="21"/>
        </w:rPr>
        <w:t>各方不能预见、不能避免且不能克服的客观情况，该事件妨碍、影响或</w:t>
      </w:r>
      <w:r>
        <w:rPr>
          <w:rFonts w:asciiTheme="minorEastAsia" w:hAnsiTheme="minorEastAsia" w:eastAsiaTheme="minorEastAsia"/>
          <w:spacing w:val="-3"/>
          <w:szCs w:val="21"/>
        </w:rPr>
        <w:t>延误任何一方依</w:t>
      </w:r>
      <w:r>
        <w:rPr>
          <w:rFonts w:hint="eastAsia" w:asciiTheme="minorEastAsia" w:hAnsiTheme="minorEastAsia" w:eastAsiaTheme="minorEastAsia"/>
          <w:spacing w:val="-3"/>
          <w:szCs w:val="21"/>
        </w:rPr>
        <w:t>理财产品销售文件</w:t>
      </w:r>
      <w:r>
        <w:rPr>
          <w:rFonts w:asciiTheme="minorEastAsia" w:hAnsiTheme="minorEastAsia" w:eastAsiaTheme="minorEastAsia"/>
          <w:spacing w:val="-3"/>
          <w:szCs w:val="21"/>
        </w:rPr>
        <w:t>履行其全部或部分义务。该事件包括但不限于：</w:t>
      </w:r>
    </w:p>
    <w:p>
      <w:pPr>
        <w:tabs>
          <w:tab w:val="left" w:pos="786"/>
        </w:tabs>
        <w:autoSpaceDE w:val="0"/>
        <w:autoSpaceDN w:val="0"/>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1）地震、台风、海啸、洪水、火灾、停电、</w:t>
      </w:r>
      <w:r>
        <w:rPr>
          <w:rFonts w:hint="eastAsia" w:asciiTheme="minorEastAsia" w:hAnsiTheme="minorEastAsia" w:eastAsiaTheme="minorEastAsia"/>
          <w:szCs w:val="21"/>
        </w:rPr>
        <w:t>疫情、流行病</w:t>
      </w:r>
      <w:r>
        <w:rPr>
          <w:rFonts w:asciiTheme="minorEastAsia" w:hAnsiTheme="minorEastAsia" w:eastAsiaTheme="minorEastAsia"/>
          <w:szCs w:val="21"/>
        </w:rPr>
        <w:t>；</w:t>
      </w:r>
    </w:p>
    <w:p>
      <w:pPr>
        <w:tabs>
          <w:tab w:val="left" w:pos="786"/>
        </w:tabs>
        <w:autoSpaceDE w:val="0"/>
        <w:autoSpaceDN w:val="0"/>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2）战争、</w:t>
      </w:r>
      <w:r>
        <w:rPr>
          <w:rFonts w:hint="eastAsia" w:asciiTheme="minorEastAsia" w:hAnsiTheme="minorEastAsia" w:eastAsiaTheme="minorEastAsia"/>
          <w:szCs w:val="21"/>
        </w:rPr>
        <w:t>军事行动、</w:t>
      </w:r>
      <w:r>
        <w:rPr>
          <w:rFonts w:asciiTheme="minorEastAsia" w:hAnsiTheme="minorEastAsia" w:eastAsiaTheme="minorEastAsia"/>
          <w:szCs w:val="21"/>
        </w:rPr>
        <w:t>恐怖主义行动、骚乱、罢工；</w:t>
      </w:r>
    </w:p>
    <w:p>
      <w:pPr>
        <w:tabs>
          <w:tab w:val="left" w:pos="786"/>
        </w:tabs>
        <w:autoSpaceDE w:val="0"/>
        <w:autoSpaceDN w:val="0"/>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3）新的</w:t>
      </w:r>
      <w:r>
        <w:rPr>
          <w:rFonts w:hint="eastAsia" w:asciiTheme="minorEastAsia" w:hAnsiTheme="minorEastAsia" w:eastAsiaTheme="minorEastAsia"/>
          <w:szCs w:val="21"/>
        </w:rPr>
        <w:t>法律法规</w:t>
      </w:r>
      <w:r>
        <w:rPr>
          <w:rFonts w:asciiTheme="minorEastAsia" w:hAnsiTheme="minorEastAsia" w:eastAsiaTheme="minorEastAsia"/>
          <w:szCs w:val="21"/>
        </w:rPr>
        <w:t>或国家政策的颁布或实施、对原</w:t>
      </w:r>
      <w:r>
        <w:rPr>
          <w:rFonts w:hint="eastAsia" w:asciiTheme="minorEastAsia" w:hAnsiTheme="minorEastAsia" w:eastAsiaTheme="minorEastAsia"/>
          <w:szCs w:val="21"/>
        </w:rPr>
        <w:t>法律法规</w:t>
      </w:r>
      <w:r>
        <w:rPr>
          <w:rFonts w:asciiTheme="minorEastAsia" w:hAnsiTheme="minorEastAsia" w:eastAsiaTheme="minorEastAsia"/>
          <w:szCs w:val="21"/>
        </w:rPr>
        <w:t>或国家政策的修改；</w:t>
      </w:r>
    </w:p>
    <w:p>
      <w:pPr>
        <w:tabs>
          <w:tab w:val="left" w:pos="786"/>
        </w:tabs>
        <w:autoSpaceDE w:val="0"/>
        <w:autoSpaceDN w:val="0"/>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pacing w:val="-3"/>
          <w:szCs w:val="21"/>
        </w:rPr>
        <w:t>监管机构</w:t>
      </w:r>
      <w:r>
        <w:rPr>
          <w:rFonts w:asciiTheme="minorEastAsia" w:hAnsiTheme="minorEastAsia" w:eastAsiaTheme="minorEastAsia"/>
          <w:spacing w:val="-3"/>
          <w:szCs w:val="21"/>
        </w:rPr>
        <w:t>强制要求终止</w:t>
      </w:r>
      <w:r>
        <w:rPr>
          <w:rFonts w:hint="eastAsia" w:cs="微软雅黑" w:asciiTheme="minorEastAsia" w:hAnsiTheme="minorEastAsia" w:eastAsiaTheme="minorEastAsia"/>
          <w:spacing w:val="-3"/>
          <w:szCs w:val="21"/>
        </w:rPr>
        <w:t>理财产品</w:t>
      </w:r>
      <w:r>
        <w:rPr>
          <w:rFonts w:asciiTheme="minorEastAsia" w:hAnsiTheme="minorEastAsia" w:eastAsiaTheme="minorEastAsia"/>
          <w:szCs w:val="21"/>
        </w:rPr>
        <w:t>（</w:t>
      </w:r>
      <w:r>
        <w:rPr>
          <w:rFonts w:asciiTheme="minorEastAsia" w:hAnsiTheme="minorEastAsia" w:eastAsiaTheme="minorEastAsia"/>
          <w:spacing w:val="-3"/>
          <w:szCs w:val="21"/>
        </w:rPr>
        <w:t>该等强制要求不可归咎于任何一方</w:t>
      </w:r>
      <w:r>
        <w:rPr>
          <w:rFonts w:hint="eastAsia" w:asciiTheme="minorEastAsia" w:hAnsiTheme="minorEastAsia" w:eastAsiaTheme="minorEastAsia"/>
          <w:spacing w:val="-3"/>
          <w:szCs w:val="21"/>
        </w:rPr>
        <w:t>）</w:t>
      </w:r>
      <w:r>
        <w:rPr>
          <w:rFonts w:asciiTheme="minorEastAsia" w:hAnsiTheme="minorEastAsia" w:eastAsiaTheme="minorEastAsia"/>
          <w:szCs w:val="21"/>
        </w:rPr>
        <w:t xml:space="preserve">； </w:t>
      </w:r>
    </w:p>
    <w:p>
      <w:pPr>
        <w:tabs>
          <w:tab w:val="left" w:pos="786"/>
        </w:tabs>
        <w:autoSpaceDE w:val="0"/>
        <w:autoSpaceDN w:val="0"/>
        <w:spacing w:line="360" w:lineRule="auto"/>
        <w:ind w:firstLine="420" w:firstLineChars="200"/>
        <w:jc w:val="left"/>
        <w:rPr>
          <w:rFonts w:asciiTheme="minorEastAsia" w:hAnsiTheme="minorEastAsia" w:eastAsiaTheme="minorEastAsia"/>
          <w:spacing w:val="-3"/>
          <w:szCs w:val="21"/>
        </w:rPr>
      </w:pPr>
      <w:r>
        <w:rPr>
          <w:rFonts w:asciiTheme="minorEastAsia" w:hAnsiTheme="minorEastAsia" w:eastAsiaTheme="minorEastAsia"/>
          <w:szCs w:val="21"/>
        </w:rPr>
        <w:t>5）</w:t>
      </w:r>
      <w:r>
        <w:rPr>
          <w:rFonts w:asciiTheme="minorEastAsia" w:hAnsiTheme="minorEastAsia" w:eastAsiaTheme="minorEastAsia"/>
          <w:spacing w:val="-8"/>
          <w:szCs w:val="21"/>
        </w:rPr>
        <w:t>因</w:t>
      </w:r>
      <w:r>
        <w:rPr>
          <w:rFonts w:hint="eastAsia" w:cs="微软雅黑" w:asciiTheme="minorEastAsia" w:hAnsiTheme="minorEastAsia" w:eastAsiaTheme="minorEastAsia"/>
          <w:spacing w:val="-8"/>
          <w:szCs w:val="21"/>
        </w:rPr>
        <w:t>理财产品</w:t>
      </w:r>
      <w:r>
        <w:rPr>
          <w:rFonts w:asciiTheme="minorEastAsia" w:hAnsiTheme="minorEastAsia" w:eastAsiaTheme="minorEastAsia"/>
          <w:spacing w:val="-8"/>
          <w:szCs w:val="21"/>
        </w:rPr>
        <w:t>各方和</w:t>
      </w:r>
      <w:r>
        <w:rPr>
          <w:rFonts w:asciiTheme="minorEastAsia" w:hAnsiTheme="minorEastAsia" w:eastAsiaTheme="minorEastAsia"/>
          <w:szCs w:val="21"/>
        </w:rPr>
        <w:t>/</w:t>
      </w:r>
      <w:r>
        <w:rPr>
          <w:rFonts w:asciiTheme="minorEastAsia" w:hAnsiTheme="minorEastAsia" w:eastAsiaTheme="minorEastAsia"/>
          <w:spacing w:val="-6"/>
          <w:szCs w:val="21"/>
        </w:rPr>
        <w:t>或其关联方运营网络系统</w:t>
      </w:r>
      <w:r>
        <w:rPr>
          <w:rFonts w:hint="eastAsia" w:asciiTheme="minorEastAsia" w:hAnsiTheme="minorEastAsia" w:eastAsiaTheme="minorEastAsia"/>
          <w:spacing w:val="-6"/>
          <w:szCs w:val="21"/>
        </w:rPr>
        <w:t>故障</w:t>
      </w:r>
      <w:r>
        <w:rPr>
          <w:rFonts w:asciiTheme="minorEastAsia" w:hAnsiTheme="minorEastAsia" w:eastAsiaTheme="minorEastAsia"/>
          <w:spacing w:val="-6"/>
          <w:szCs w:val="21"/>
        </w:rPr>
        <w:t>、电信部门技术调整或故障</w:t>
      </w:r>
      <w:r>
        <w:rPr>
          <w:rFonts w:hint="eastAsia" w:asciiTheme="minorEastAsia" w:hAnsiTheme="minorEastAsia" w:eastAsiaTheme="minorEastAsia"/>
          <w:spacing w:val="-6"/>
          <w:szCs w:val="21"/>
        </w:rPr>
        <w:t>、电力系统故障、中国人民银行结算系统故障、证券交易所及登记结算公司发送的数据错误、证券交易所非正常暂停或停止交易、金融危机、所涉及的市场发生停止交易</w:t>
      </w:r>
      <w:r>
        <w:rPr>
          <w:rFonts w:asciiTheme="minorEastAsia" w:hAnsiTheme="minorEastAsia" w:eastAsiaTheme="minorEastAsia"/>
          <w:spacing w:val="-6"/>
          <w:szCs w:val="21"/>
        </w:rPr>
        <w:t>等原</w:t>
      </w:r>
      <w:r>
        <w:rPr>
          <w:rFonts w:asciiTheme="minorEastAsia" w:hAnsiTheme="minorEastAsia" w:eastAsiaTheme="minorEastAsia"/>
          <w:spacing w:val="-5"/>
          <w:szCs w:val="21"/>
        </w:rPr>
        <w:t>因而造成的</w:t>
      </w:r>
      <w:r>
        <w:rPr>
          <w:rFonts w:hint="eastAsia" w:cs="微软雅黑" w:asciiTheme="minorEastAsia" w:hAnsiTheme="minorEastAsia" w:eastAsiaTheme="minorEastAsia"/>
          <w:spacing w:val="-5"/>
          <w:szCs w:val="21"/>
        </w:rPr>
        <w:t>理财产品</w:t>
      </w:r>
      <w:r>
        <w:rPr>
          <w:rFonts w:asciiTheme="minorEastAsia" w:hAnsiTheme="minorEastAsia" w:eastAsiaTheme="minorEastAsia"/>
          <w:spacing w:val="-5"/>
          <w:szCs w:val="21"/>
        </w:rPr>
        <w:t>各方和</w:t>
      </w:r>
      <w:r>
        <w:rPr>
          <w:rFonts w:asciiTheme="minorEastAsia" w:hAnsiTheme="minorEastAsia" w:eastAsiaTheme="minorEastAsia"/>
          <w:szCs w:val="21"/>
        </w:rPr>
        <w:t>/</w:t>
      </w:r>
      <w:r>
        <w:rPr>
          <w:rFonts w:asciiTheme="minorEastAsia" w:hAnsiTheme="minorEastAsia" w:eastAsiaTheme="minorEastAsia"/>
          <w:spacing w:val="-3"/>
          <w:szCs w:val="21"/>
        </w:rPr>
        <w:t>或其关联方之服务、营业的中断或者延迟。</w:t>
      </w:r>
    </w:p>
    <w:p>
      <w:pPr>
        <w:tabs>
          <w:tab w:val="left" w:pos="786"/>
        </w:tabs>
        <w:autoSpaceDE w:val="0"/>
        <w:autoSpaceDN w:val="0"/>
        <w:spacing w:line="360" w:lineRule="auto"/>
        <w:ind w:firstLine="409" w:firstLineChars="200"/>
        <w:jc w:val="left"/>
        <w:rPr>
          <w:rFonts w:asciiTheme="minorEastAsia" w:hAnsiTheme="minorEastAsia" w:eastAsiaTheme="minorEastAsia"/>
          <w:spacing w:val="-6"/>
          <w:szCs w:val="21"/>
        </w:rPr>
      </w:pPr>
      <w:r>
        <w:rPr>
          <w:rFonts w:hint="eastAsia" w:asciiTheme="minorEastAsia" w:hAnsiTheme="minorEastAsia" w:eastAsiaTheme="minorEastAsia"/>
          <w:b/>
          <w:spacing w:val="-3"/>
          <w:szCs w:val="21"/>
        </w:rPr>
        <w:t>（</w:t>
      </w:r>
      <w:r>
        <w:rPr>
          <w:rFonts w:asciiTheme="minorEastAsia" w:hAnsiTheme="minorEastAsia" w:eastAsiaTheme="minorEastAsia"/>
          <w:b/>
          <w:spacing w:val="-3"/>
          <w:szCs w:val="21"/>
        </w:rPr>
        <w:t>5）</w:t>
      </w:r>
      <w:r>
        <w:rPr>
          <w:rFonts w:hint="eastAsia" w:asciiTheme="minorEastAsia" w:hAnsiTheme="minorEastAsia" w:eastAsiaTheme="minorEastAsia"/>
          <w:b/>
          <w:spacing w:val="-3"/>
          <w:szCs w:val="21"/>
        </w:rPr>
        <w:t>现金管理类产品：</w:t>
      </w:r>
      <w:r>
        <w:rPr>
          <w:rFonts w:hint="eastAsia" w:asciiTheme="minorEastAsia" w:hAnsiTheme="minorEastAsia" w:eastAsiaTheme="minorEastAsia"/>
          <w:spacing w:val="-6"/>
          <w:szCs w:val="21"/>
        </w:rPr>
        <w:t>指仅投资于货币市场工具，每个工作日可办理产品份额认</w:t>
      </w:r>
      <w:r>
        <w:rPr>
          <w:rFonts w:asciiTheme="minorEastAsia" w:hAnsiTheme="minorEastAsia" w:eastAsiaTheme="minorEastAsia"/>
          <w:spacing w:val="-6"/>
          <w:szCs w:val="21"/>
        </w:rPr>
        <w:t>/</w:t>
      </w:r>
      <w:r>
        <w:rPr>
          <w:rFonts w:hint="eastAsia" w:asciiTheme="minorEastAsia" w:hAnsiTheme="minorEastAsia" w:eastAsiaTheme="minorEastAsia"/>
          <w:spacing w:val="-6"/>
          <w:szCs w:val="21"/>
        </w:rPr>
        <w:t>申购、赎回的理财产品。</w:t>
      </w:r>
    </w:p>
    <w:p>
      <w:pPr>
        <w:tabs>
          <w:tab w:val="left" w:pos="786"/>
        </w:tabs>
        <w:autoSpaceDE w:val="0"/>
        <w:autoSpaceDN w:val="0"/>
        <w:spacing w:line="360" w:lineRule="auto"/>
        <w:ind w:firstLine="409" w:firstLineChars="200"/>
        <w:jc w:val="left"/>
        <w:rPr>
          <w:rFonts w:asciiTheme="minorEastAsia" w:hAnsiTheme="minorEastAsia" w:eastAsiaTheme="minorEastAsia"/>
          <w:spacing w:val="-3"/>
          <w:szCs w:val="21"/>
        </w:rPr>
      </w:pPr>
      <w:r>
        <w:rPr>
          <w:rFonts w:hint="eastAsia" w:asciiTheme="minorEastAsia" w:hAnsiTheme="minorEastAsia" w:eastAsiaTheme="minorEastAsia"/>
          <w:b/>
          <w:spacing w:val="-3"/>
          <w:szCs w:val="21"/>
        </w:rPr>
        <w:t>（6）流动性受限资产：</w:t>
      </w:r>
      <w:r>
        <w:rPr>
          <w:rFonts w:hint="eastAsia" w:asciiTheme="minorEastAsia" w:hAnsiTheme="minorEastAsia" w:eastAsiaTheme="minorEastAsia"/>
          <w:spacing w:val="-3"/>
          <w:szCs w:val="21"/>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tabs>
          <w:tab w:val="left" w:pos="786"/>
        </w:tabs>
        <w:autoSpaceDE w:val="0"/>
        <w:autoSpaceDN w:val="0"/>
        <w:spacing w:line="360" w:lineRule="auto"/>
        <w:ind w:firstLine="409" w:firstLineChars="200"/>
        <w:jc w:val="left"/>
        <w:rPr>
          <w:rFonts w:asciiTheme="minorEastAsia" w:hAnsiTheme="minorEastAsia" w:eastAsiaTheme="minorEastAsia"/>
          <w:spacing w:val="-3"/>
          <w:szCs w:val="21"/>
        </w:rPr>
      </w:pPr>
      <w:r>
        <w:rPr>
          <w:rFonts w:hint="eastAsia" w:asciiTheme="minorEastAsia" w:hAnsiTheme="minorEastAsia" w:eastAsiaTheme="minorEastAsia"/>
          <w:b/>
          <w:spacing w:val="-3"/>
          <w:szCs w:val="21"/>
        </w:rPr>
        <w:t>（</w:t>
      </w:r>
      <w:r>
        <w:rPr>
          <w:rFonts w:asciiTheme="minorEastAsia" w:hAnsiTheme="minorEastAsia" w:eastAsiaTheme="minorEastAsia"/>
          <w:b/>
          <w:spacing w:val="-3"/>
          <w:szCs w:val="21"/>
        </w:rPr>
        <w:t>7）7</w:t>
      </w:r>
      <w:r>
        <w:rPr>
          <w:rFonts w:hint="eastAsia" w:asciiTheme="minorEastAsia" w:hAnsiTheme="minorEastAsia" w:eastAsiaTheme="minorEastAsia"/>
          <w:b/>
          <w:spacing w:val="-3"/>
          <w:szCs w:val="21"/>
        </w:rPr>
        <w:t>个工作日可变现资产：</w:t>
      </w:r>
      <w:r>
        <w:rPr>
          <w:rFonts w:hint="eastAsia" w:asciiTheme="minorEastAsia" w:hAnsiTheme="minorEastAsia" w:eastAsiaTheme="minorEastAsia"/>
          <w:spacing w:val="-3"/>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tabs>
          <w:tab w:val="left" w:pos="786"/>
        </w:tabs>
        <w:autoSpaceDE w:val="0"/>
        <w:autoSpaceDN w:val="0"/>
        <w:spacing w:line="360" w:lineRule="auto"/>
        <w:ind w:firstLine="408" w:firstLineChars="200"/>
        <w:jc w:val="left"/>
        <w:rPr>
          <w:rFonts w:asciiTheme="minorEastAsia" w:hAnsiTheme="minorEastAsia" w:eastAsiaTheme="minorEastAsia"/>
          <w:spacing w:val="-3"/>
        </w:rPr>
      </w:pPr>
    </w:p>
    <w:p>
      <w:pPr>
        <w:snapToGrid w:val="0"/>
        <w:spacing w:before="240" w:beforeLines="10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二、产品概述</w:t>
      </w:r>
    </w:p>
    <w:p>
      <w:pPr>
        <w:pStyle w:val="6"/>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为便于投资者了解本</w:t>
      </w:r>
      <w:r>
        <w:rPr>
          <w:rFonts w:hint="eastAsia" w:cs="微软雅黑" w:asciiTheme="minorEastAsia" w:hAnsiTheme="minorEastAsia" w:eastAsiaTheme="minorEastAsia"/>
          <w:szCs w:val="21"/>
        </w:rPr>
        <w:t>理财产品</w:t>
      </w:r>
      <w:r>
        <w:rPr>
          <w:rFonts w:asciiTheme="minorEastAsia" w:hAnsiTheme="minorEastAsia" w:eastAsiaTheme="minorEastAsia"/>
          <w:szCs w:val="21"/>
        </w:rPr>
        <w:t>的概要，管理人列举以下核心要素，但并非</w:t>
      </w:r>
      <w:r>
        <w:rPr>
          <w:rFonts w:hint="eastAsia" w:asciiTheme="minorEastAsia" w:hAnsiTheme="minorEastAsia" w:eastAsiaTheme="minorEastAsia"/>
          <w:szCs w:val="21"/>
        </w:rPr>
        <w:t>本产品全部信息</w:t>
      </w:r>
      <w:r>
        <w:rPr>
          <w:rFonts w:asciiTheme="minorEastAsia" w:hAnsiTheme="minorEastAsia" w:eastAsiaTheme="minorEastAsia"/>
          <w:szCs w:val="21"/>
        </w:rPr>
        <w:t>。投资者在购买本理财产品前，须全面阅读并确保充分知悉</w:t>
      </w:r>
      <w:r>
        <w:rPr>
          <w:rFonts w:hint="eastAsia" w:cs="微软雅黑" w:asciiTheme="minorEastAsia" w:hAnsiTheme="minorEastAsia" w:eastAsiaTheme="minorEastAsia"/>
          <w:szCs w:val="21"/>
        </w:rPr>
        <w:t>理财产品</w:t>
      </w:r>
      <w:r>
        <w:rPr>
          <w:rFonts w:asciiTheme="minorEastAsia" w:hAnsiTheme="minorEastAsia" w:eastAsiaTheme="minorEastAsia"/>
          <w:szCs w:val="21"/>
        </w:rPr>
        <w:t>销售文件的各部分信息，以全面了解本理财产品的所有事项。</w:t>
      </w:r>
    </w:p>
    <w:tbl>
      <w:tblPr>
        <w:tblStyle w:val="16"/>
        <w:tblW w:w="949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751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tcPr>
          <w:p>
            <w:pPr>
              <w:widowControl/>
              <w:spacing w:line="360" w:lineRule="auto"/>
              <w:jc w:val="center"/>
              <w:rPr>
                <w:rFonts w:asciiTheme="minorEastAsia" w:hAnsiTheme="minorEastAsia" w:eastAsiaTheme="minorEastAsia"/>
                <w:color w:val="000000"/>
                <w:szCs w:val="21"/>
              </w:rPr>
            </w:pPr>
            <w:r>
              <w:rPr>
                <w:rFonts w:asciiTheme="minorEastAsia" w:hAnsiTheme="minorEastAsia" w:eastAsiaTheme="minorEastAsia"/>
                <w:szCs w:val="21"/>
              </w:rPr>
              <w:t>产品</w:t>
            </w:r>
            <w:r>
              <w:rPr>
                <w:rFonts w:hint="eastAsia" w:asciiTheme="minorEastAsia" w:hAnsiTheme="minorEastAsia" w:eastAsiaTheme="minorEastAsia"/>
                <w:szCs w:val="21"/>
              </w:rPr>
              <w:t>名称</w:t>
            </w:r>
          </w:p>
        </w:tc>
        <w:tc>
          <w:tcPr>
            <w:tcW w:w="7513" w:type="dxa"/>
            <w:shd w:val="clear" w:color="auto" w:fill="auto"/>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szCs w:val="21"/>
              </w:rPr>
              <w:t>浦银理财天添利现金宝39号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tcPr>
          <w:p>
            <w:pPr>
              <w:widowControl/>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产品简称</w:t>
            </w:r>
          </w:p>
        </w:tc>
        <w:tc>
          <w:tcPr>
            <w:tcW w:w="7513" w:type="dxa"/>
            <w:shd w:val="clear" w:color="auto" w:fill="auto"/>
          </w:tcPr>
          <w:p>
            <w:pPr>
              <w:widowControl/>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天添利现金宝39号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产品代码</w:t>
            </w:r>
          </w:p>
        </w:tc>
        <w:tc>
          <w:tcPr>
            <w:tcW w:w="7513"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2301239465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产品份额类型</w:t>
            </w:r>
          </w:p>
        </w:tc>
        <w:tc>
          <w:tcPr>
            <w:tcW w:w="7513" w:type="dxa"/>
            <w:shd w:val="clear" w:color="auto" w:fill="auto"/>
            <w:vAlign w:val="center"/>
          </w:tcPr>
          <w:p>
            <w:pPr>
              <w:widowControl/>
              <w:spacing w:line="360" w:lineRule="auto"/>
              <w:rPr>
                <w:rFonts w:asciiTheme="minorEastAsia" w:hAnsiTheme="minorEastAsia" w:eastAsiaTheme="minorEastAsia"/>
                <w:color w:val="000000"/>
              </w:rPr>
            </w:pPr>
            <w:r>
              <w:rPr>
                <w:rFonts w:hint="eastAsia" w:asciiTheme="minorEastAsia" w:hAnsiTheme="minorEastAsia" w:eastAsiaTheme="minorEastAsia"/>
                <w:color w:val="000000"/>
                <w:szCs w:val="21"/>
              </w:rPr>
              <w:t>H类份额（销售代码2501261136）：中原银行个人投资者、交通银行个人投资者</w:t>
            </w:r>
          </w:p>
          <w:p>
            <w:pPr>
              <w:widowControl/>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本产品各类产品份额要素及相关标准可能存在差异，具体以销售机构披露为准。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产品销售名称</w:t>
            </w:r>
          </w:p>
        </w:tc>
        <w:tc>
          <w:tcPr>
            <w:tcW w:w="7513" w:type="dxa"/>
            <w:shd w:val="clear" w:color="auto" w:fill="auto"/>
            <w:vAlign w:val="center"/>
          </w:tcPr>
          <w:p>
            <w:pPr>
              <w:widowControl/>
              <w:spacing w:line="360" w:lineRule="auto"/>
              <w:rPr>
                <w:rFonts w:asciiTheme="minorEastAsia" w:hAnsiTheme="minorEastAsia" w:eastAsiaTheme="minorEastAsia"/>
              </w:rPr>
            </w:pPr>
            <w:r>
              <w:rPr>
                <w:rFonts w:hint="eastAsia" w:asciiTheme="minorEastAsia" w:hAnsiTheme="minorEastAsia" w:eastAsiaTheme="minorEastAsia"/>
              </w:rPr>
              <w:t>H类份额：天添利现金宝39号H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说明书版本</w:t>
            </w:r>
          </w:p>
        </w:tc>
        <w:tc>
          <w:tcPr>
            <w:tcW w:w="7513"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2026年6月第1版</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szCs w:val="21"/>
              </w:rPr>
              <w:t>全国银行业</w:t>
            </w:r>
            <w:r>
              <w:rPr>
                <w:rFonts w:asciiTheme="minorEastAsia" w:hAnsiTheme="minorEastAsia" w:eastAsiaTheme="minorEastAsia"/>
                <w:szCs w:val="21"/>
              </w:rPr>
              <w:t>理财信息登记系统登记编码</w:t>
            </w:r>
          </w:p>
        </w:tc>
        <w:tc>
          <w:tcPr>
            <w:tcW w:w="7513" w:type="dxa"/>
            <w:shd w:val="clear" w:color="auto" w:fill="auto"/>
            <w:vAlign w:val="center"/>
          </w:tcPr>
          <w:p>
            <w:pPr>
              <w:widowControl/>
              <w:spacing w:line="360" w:lineRule="auto"/>
              <w:rPr>
                <w:rFonts w:asciiTheme="minorEastAsia" w:hAnsiTheme="minorEastAsia" w:eastAsiaTheme="minorEastAsia"/>
                <w:szCs w:val="21"/>
              </w:rPr>
            </w:pPr>
            <w:r>
              <w:rPr>
                <w:rFonts w:asciiTheme="minorEastAsia" w:hAnsiTheme="minorEastAsia" w:eastAsiaTheme="minorEastAsia"/>
                <w:szCs w:val="21"/>
              </w:rPr>
              <w:t>Z7006923000710</w:t>
            </w:r>
            <w:r>
              <w:rPr>
                <w:rFonts w:hint="eastAsia" w:asciiTheme="minorEastAsia" w:hAnsiTheme="minorEastAsia" w:eastAsiaTheme="minorEastAsia"/>
                <w:szCs w:val="21"/>
              </w:rPr>
              <w:t>，投资者可依据该编码在“中国理财网（</w:t>
            </w:r>
            <w:r>
              <w:fldChar w:fldCharType="begin"/>
            </w:r>
            <w:r>
              <w:instrText xml:space="preserve"> HYPERLINK "http://www.chinawealth.com.cn" </w:instrText>
            </w:r>
            <w:r>
              <w:fldChar w:fldCharType="separate"/>
            </w:r>
            <w:r>
              <w:rPr>
                <w:rFonts w:asciiTheme="minorEastAsia" w:hAnsiTheme="minorEastAsia" w:eastAsiaTheme="minorEastAsia"/>
                <w:szCs w:val="21"/>
              </w:rPr>
              <w:t>www.chinawealth.com.cn</w:t>
            </w:r>
            <w:r>
              <w:rPr>
                <w:rFonts w:asciiTheme="minorEastAsia" w:hAnsiTheme="minorEastAsia" w:eastAsiaTheme="minorEastAsia"/>
                <w:szCs w:val="21"/>
              </w:rPr>
              <w:fldChar w:fldCharType="end"/>
            </w:r>
            <w:r>
              <w:rPr>
                <w:rFonts w:hint="eastAsia" w:asciiTheme="minorEastAsia" w:hAnsiTheme="minorEastAsia" w:eastAsiaTheme="minorEastAsia"/>
                <w:szCs w:val="21"/>
              </w:rPr>
              <w:t>）”查询该产品信息。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理财币种</w:t>
            </w:r>
          </w:p>
        </w:tc>
        <w:tc>
          <w:tcPr>
            <w:tcW w:w="7513" w:type="dxa"/>
            <w:shd w:val="clear" w:color="auto" w:fill="auto"/>
            <w:vAlign w:val="center"/>
          </w:tcPr>
          <w:p>
            <w:pPr>
              <w:widowControl/>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人民币</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募集方式</w:t>
            </w:r>
          </w:p>
        </w:tc>
        <w:tc>
          <w:tcPr>
            <w:tcW w:w="7513"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公募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运作方式</w:t>
            </w:r>
          </w:p>
        </w:tc>
        <w:tc>
          <w:tcPr>
            <w:tcW w:w="7513"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开放式</w:t>
            </w:r>
            <w:r>
              <w:rPr>
                <w:rFonts w:asciiTheme="minorEastAsia" w:hAnsiTheme="minorEastAsia" w:eastAsiaTheme="minorEastAsia"/>
                <w:color w:val="000000" w:themeColor="text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产品类型</w:t>
            </w:r>
          </w:p>
        </w:tc>
        <w:tc>
          <w:tcPr>
            <w:tcW w:w="7513"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固定收益类 </w:t>
            </w:r>
            <w:r>
              <w:rPr>
                <w:rFonts w:asciiTheme="minorEastAsia" w:hAnsiTheme="minorEastAsia" w:eastAsiaTheme="minorEastAsia"/>
                <w:color w:val="000000" w:themeColor="text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产品风险等级</w:t>
            </w:r>
          </w:p>
        </w:tc>
        <w:tc>
          <w:tcPr>
            <w:tcW w:w="7513"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 xml:space="preserve">R1低风险 </w:t>
            </w:r>
          </w:p>
          <w:p>
            <w:pPr>
              <w:widowControl/>
              <w:spacing w:line="360" w:lineRule="auto"/>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szCs w:val="21"/>
              </w:rPr>
              <w:t>本产品的风险评级仅是</w:t>
            </w:r>
            <w:r>
              <w:rPr>
                <w:rFonts w:hint="eastAsia" w:asciiTheme="minorEastAsia" w:hAnsiTheme="minorEastAsia" w:eastAsiaTheme="minorEastAsia"/>
                <w:b/>
                <w:szCs w:val="21"/>
              </w:rPr>
              <w:t>浦</w:t>
            </w:r>
            <w:r>
              <w:rPr>
                <w:rFonts w:asciiTheme="minorEastAsia" w:hAnsiTheme="minorEastAsia" w:eastAsiaTheme="minorEastAsia"/>
                <w:b/>
                <w:szCs w:val="21"/>
              </w:rPr>
              <w:t>银理财内部测评结果，仅供</w:t>
            </w:r>
            <w:r>
              <w:rPr>
                <w:rFonts w:hint="eastAsia" w:asciiTheme="minorEastAsia" w:hAnsiTheme="minorEastAsia" w:eastAsiaTheme="minorEastAsia"/>
                <w:b/>
                <w:szCs w:val="21"/>
              </w:rPr>
              <w:t>投资者</w:t>
            </w:r>
            <w:r>
              <w:rPr>
                <w:rFonts w:asciiTheme="minorEastAsia" w:hAnsiTheme="minorEastAsia" w:eastAsiaTheme="minorEastAsia"/>
                <w:b/>
                <w:szCs w:val="21"/>
              </w:rPr>
              <w:t>参考</w:t>
            </w:r>
            <w:r>
              <w:rPr>
                <w:rFonts w:hint="eastAsia" w:asciiTheme="minorEastAsia" w:hAnsiTheme="minorEastAsia" w:eastAsiaTheme="minorEastAsia"/>
                <w:b/>
                <w:szCs w:val="21"/>
              </w:rPr>
              <w:t>，本产品存续期内，产品内部风险评级可能会根据实际情况调整；如与销售机构对本产品的销售评级不一致的，销售机构应当采用对应较高风险等级的评级结果，本产品评级以销售机构最终披露的评级结果为准。</w:t>
            </w:r>
            <w:r>
              <w:rPr>
                <w:rFonts w:asciiTheme="minorEastAsia" w:hAnsiTheme="minorEastAsia" w:eastAsiaTheme="minorEastAsia"/>
                <w:b/>
                <w:szCs w:val="21"/>
              </w:rPr>
              <w:t>本产品存续期内，产品风险等级发生变动的，该变动情况将通过本《产品说明书》约定的信息披露方式进行披露。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产品管理人</w:t>
            </w:r>
          </w:p>
        </w:tc>
        <w:tc>
          <w:tcPr>
            <w:tcW w:w="7513" w:type="dxa"/>
            <w:shd w:val="clear" w:color="auto" w:fill="auto"/>
            <w:vAlign w:val="center"/>
          </w:tcPr>
          <w:p>
            <w:pPr>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szCs w:val="21"/>
              </w:rPr>
              <w:t>浦银理财有限责任公司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产品托管人</w:t>
            </w:r>
          </w:p>
        </w:tc>
        <w:tc>
          <w:tcPr>
            <w:tcW w:w="7513" w:type="dxa"/>
            <w:shd w:val="clear" w:color="auto" w:fill="auto"/>
            <w:vAlign w:val="center"/>
          </w:tcPr>
          <w:p>
            <w:pPr>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名称：上海浦东发展银行股份有限公司</w:t>
            </w:r>
          </w:p>
          <w:p>
            <w:pPr>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住所：上海市黄浦区中山东一路12号</w:t>
            </w:r>
          </w:p>
          <w:p>
            <w:pPr>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w:t>
            </w:r>
            <w:r>
              <w:rPr>
                <w:rFonts w:asciiTheme="minorEastAsia" w:hAnsiTheme="minorEastAsia" w:eastAsiaTheme="minorEastAsia"/>
                <w:color w:val="000000" w:themeColor="text1"/>
                <w:szCs w:val="21"/>
                <w14:textFill>
                  <w14:solidFill>
                    <w14:schemeClr w14:val="tx1"/>
                  </w14:solidFill>
                </w14:textFill>
              </w:rPr>
              <w:t>95528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销售机构</w:t>
            </w:r>
          </w:p>
        </w:tc>
        <w:tc>
          <w:tcPr>
            <w:tcW w:w="7513" w:type="dxa"/>
            <w:shd w:val="clear" w:color="auto" w:fill="auto"/>
            <w:vAlign w:val="center"/>
          </w:tcPr>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1、A-B类份额销售机构：</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名称：招商银行股份有限公司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住所：广东省深圳市福田区深南大道7088号招商银行大厦</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客户服务热线：95555</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2、C类份额销售机构：</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名称：宁波银行股份有限公司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住所：浙江省宁波市鄞州区宁东路345号</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客户服务热线：95574</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名称：江苏江南农村商业银行股份有限公司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住所：江苏省常州市武进区延政中路9号</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客户服务热线：0519-96005</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3、D类份额销售机构：</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名称：中信银行股份有限公司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住所：北京市朝阳区光华路10号院</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客户服务热线：95558</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4、E类份额销售机构：</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名称：平安银行股份有限公司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住所：深圳市罗湖区深南东路5047号</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客户服务热线：95511</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5、F类份额销售机构：</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名称：上海浦东发展银行股份有限公司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住所：上海市黄浦区中山东一路12号</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客户服务热线：95528</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6、G类份额销售机构：</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名称：台州银行股份有限公司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住所：浙江省台州市路桥区南官大道92号</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客户服务热线：95371</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名称：辽宁农村商业银行股份有限公司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住所：辽宁省沈阳市皇姑区黄河南大街112号</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客户服务热线：96888</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7、H类份额销售机构：</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名称：中原银行股份有限公司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住所：河南省郑州市郑东新区金融岛外环路9号</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客户服务热线：95186</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名称：交通银行股份有限公司</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住所：中国（上海）自由贸易试验区银城中路188号</w:t>
            </w:r>
          </w:p>
          <w:p>
            <w:pPr>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客户服务热线：95559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理财投资合作机构</w:t>
            </w:r>
          </w:p>
        </w:tc>
        <w:tc>
          <w:tcPr>
            <w:tcW w:w="7513" w:type="dxa"/>
            <w:shd w:val="clear" w:color="auto" w:fill="auto"/>
            <w:vAlign w:val="center"/>
          </w:tcPr>
          <w:p>
            <w:pPr>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szCs w:val="21"/>
              </w:rPr>
              <w:t>本理财产品目前无特定具体理财投资合作机构，具体以管理人后续信息披露为准。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是否分级</w:t>
            </w:r>
          </w:p>
        </w:tc>
        <w:tc>
          <w:tcPr>
            <w:tcW w:w="7513" w:type="dxa"/>
            <w:shd w:val="clear" w:color="auto" w:fill="auto"/>
            <w:vAlign w:val="center"/>
          </w:tcPr>
          <w:p>
            <w:pPr>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销售地域</w:t>
            </w:r>
          </w:p>
        </w:tc>
        <w:tc>
          <w:tcPr>
            <w:tcW w:w="7513" w:type="dxa"/>
            <w:shd w:val="clear" w:color="auto" w:fill="auto"/>
            <w:vAlign w:val="center"/>
          </w:tcPr>
          <w:p>
            <w:pPr>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全国</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销售渠道</w:t>
            </w:r>
          </w:p>
        </w:tc>
        <w:tc>
          <w:tcPr>
            <w:tcW w:w="7513" w:type="dxa"/>
            <w:shd w:val="clear" w:color="auto" w:fill="auto"/>
            <w:vAlign w:val="center"/>
          </w:tcPr>
          <w:p>
            <w:pPr>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投资者可通过销售机构规定的销售渠道购买本产品（如网上银行、手机银行、网点柜面，具体以销售机构为准）。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themeColor="text1"/>
                <w:szCs w:val="21"/>
                <w14:textFill>
                  <w14:solidFill>
                    <w14:schemeClr w14:val="tx1"/>
                  </w14:solidFill>
                </w14:textFill>
              </w:rPr>
              <w:t>发行规模</w:t>
            </w:r>
          </w:p>
        </w:tc>
        <w:tc>
          <w:tcPr>
            <w:tcW w:w="7513" w:type="dxa"/>
            <w:shd w:val="clear" w:color="auto" w:fill="auto"/>
            <w:vAlign w:val="center"/>
          </w:tcPr>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1.本产品发行规模上限为50亿元，</w:t>
            </w:r>
            <w:r>
              <w:rPr>
                <w:rFonts w:hint="eastAsia" w:asciiTheme="minorEastAsia" w:hAnsiTheme="minorEastAsia" w:eastAsiaTheme="minorEastAsia"/>
                <w:color w:val="000000" w:themeColor="text1"/>
                <w:szCs w:val="21"/>
                <w14:textFill>
                  <w14:solidFill>
                    <w14:schemeClr w14:val="tx1"/>
                  </w14:solidFill>
                </w14:textFill>
              </w:rPr>
              <w:t>不设发行规模下限。</w:t>
            </w:r>
          </w:p>
          <w:p>
            <w:pPr>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产品管理人有权根据实际需要对发行规模进行调整，最终发行规模以实际募集金额为准。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业绩比较基准</w:t>
            </w:r>
          </w:p>
        </w:tc>
        <w:tc>
          <w:tcPr>
            <w:tcW w:w="7513" w:type="dxa"/>
            <w:shd w:val="clear" w:color="auto" w:fill="auto"/>
            <w:vAlign w:val="center"/>
          </w:tcPr>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中国人民银行公布的同期7天通知存款利率</w:t>
            </w:r>
          </w:p>
          <w:p>
            <w:pPr>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业绩比较基准测算依据：</w:t>
            </w:r>
            <w:r>
              <w:rPr>
                <w:rFonts w:asciiTheme="minorEastAsia" w:hAnsiTheme="minorEastAsia" w:eastAsiaTheme="minorEastAsia"/>
                <w:color w:val="000000" w:themeColor="text1"/>
                <w:szCs w:val="21"/>
                <w14:textFill>
                  <w14:solidFill>
                    <w14:schemeClr w14:val="tx1"/>
                  </w14:solidFill>
                </w14:textFill>
              </w:rPr>
              <w:t>本产品主要投资于现金、银行存款、债券回购、中央银行票据、同业存单、债券、资产支持证券及其他国家金融监督管理总局、人民银行认可的具有良好流动性的货币市场工具，根据货币市场工具当前以及未来一段时期的收益率预测，并结合产品风险收益特征，设定业绩比较基准。</w:t>
            </w:r>
          </w:p>
          <w:p>
            <w:pPr>
              <w:widowControl/>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业绩比较基准是管理人基于过往投资经验、拟投资资产收益风险情况、产品性质等因素对产品设定的投资目标。业绩比较基准不是预期收益率，不代表产品的未来表现和实际收益，亦不构成管理人对产品的收益承诺和保障。</w:t>
            </w:r>
          </w:p>
          <w:p>
            <w:pPr>
              <w:widowControl/>
              <w:spacing w:line="360" w:lineRule="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szCs w:val="21"/>
              </w:rPr>
              <w:t>本理财产品存续期限内，产品管理人有权对业绩比较基准进行调整，</w:t>
            </w:r>
            <w:r>
              <w:rPr>
                <w:rFonts w:hint="eastAsia" w:asciiTheme="minorEastAsia" w:hAnsiTheme="minorEastAsia" w:eastAsiaTheme="minorEastAsia"/>
                <w:b/>
                <w:color w:val="000000" w:themeColor="text1"/>
                <w:szCs w:val="21"/>
                <w14:textFill>
                  <w14:solidFill>
                    <w14:schemeClr w14:val="tx1"/>
                  </w14:solidFill>
                </w14:textFill>
              </w:rPr>
              <w:t>该调整将通过本《产品说明书》“十一、信息披露”约定的方式进行披露。如未披露调整，则以上一次披露的业绩比较基准为准。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认购期</w:t>
            </w:r>
          </w:p>
        </w:tc>
        <w:tc>
          <w:tcPr>
            <w:tcW w:w="7513" w:type="dxa"/>
            <w:shd w:val="clear" w:color="auto" w:fill="auto"/>
            <w:vAlign w:val="center"/>
          </w:tcPr>
          <w:p>
            <w:pPr>
              <w:widowControl/>
              <w:spacing w:line="360" w:lineRule="auto"/>
              <w:jc w:val="left"/>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2024年3月28日9:00</w:t>
            </w:r>
            <w:r>
              <w:rPr>
                <w:rFonts w:hint="eastAsia" w:cs="宋体" w:asciiTheme="minorEastAsia" w:hAnsiTheme="minorEastAsia" w:eastAsiaTheme="minorEastAsia"/>
                <w:bCs/>
                <w:iCs/>
                <w:color w:val="000000"/>
                <w:szCs w:val="21"/>
              </w:rPr>
              <w:t>至</w:t>
            </w:r>
            <w:r>
              <w:rPr>
                <w:rFonts w:cs="宋体" w:asciiTheme="minorEastAsia" w:hAnsiTheme="minorEastAsia" w:eastAsiaTheme="minorEastAsia"/>
                <w:bCs/>
                <w:iCs/>
                <w:color w:val="000000"/>
                <w:szCs w:val="21"/>
              </w:rPr>
              <w:t>2024年3月28日17:00</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产品管理人有权根据实际募集情况提前或延后</w:t>
            </w:r>
            <w:r>
              <w:rPr>
                <w:rFonts w:hint="eastAsia" w:cs="宋体" w:asciiTheme="minorEastAsia" w:hAnsiTheme="minorEastAsia" w:eastAsiaTheme="minorEastAsia"/>
                <w:bCs/>
                <w:iCs/>
                <w:color w:val="000000"/>
                <w:szCs w:val="21"/>
              </w:rPr>
              <w:t>认购期结束日期。</w:t>
            </w:r>
          </w:p>
          <w:p>
            <w:pPr>
              <w:widowControl/>
              <w:spacing w:line="360" w:lineRule="auto"/>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（关于销售机构实际服务时间的提示：销售机构实际受理认购的时间可能与本产品说明书的约定不一致，具体以销售机构为准）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认购确认日</w:t>
            </w:r>
          </w:p>
        </w:tc>
        <w:tc>
          <w:tcPr>
            <w:tcW w:w="7513" w:type="dxa"/>
            <w:shd w:val="clear" w:color="auto" w:fill="auto"/>
            <w:vAlign w:val="center"/>
          </w:tcPr>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bCs/>
                <w:iCs/>
                <w:color w:val="000000"/>
                <w:szCs w:val="21"/>
              </w:rPr>
              <w:t>2024年3月29日</w:t>
            </w:r>
            <w:r>
              <w:rPr>
                <w:rFonts w:hint="eastAsia" w:asciiTheme="minorEastAsia" w:hAnsiTheme="minorEastAsia" w:eastAsiaTheme="minorEastAsia"/>
                <w:spacing w:val="-3"/>
                <w:szCs w:val="21"/>
              </w:rPr>
              <w:t>，</w:t>
            </w:r>
            <w:r>
              <w:rPr>
                <w:rFonts w:cs="宋体" w:asciiTheme="minorEastAsia" w:hAnsiTheme="minorEastAsia" w:eastAsiaTheme="minorEastAsia"/>
                <w:bCs/>
                <w:iCs/>
                <w:color w:val="000000"/>
                <w:szCs w:val="21"/>
              </w:rPr>
              <w:t>产品管理人有权根据实际募集情况</w:t>
            </w:r>
            <w:r>
              <w:rPr>
                <w:rFonts w:hint="eastAsia" w:cs="宋体" w:asciiTheme="minorEastAsia" w:hAnsiTheme="minorEastAsia" w:eastAsiaTheme="minorEastAsia"/>
                <w:bCs/>
                <w:iCs/>
                <w:color w:val="000000"/>
                <w:szCs w:val="21"/>
              </w:rPr>
              <w:t>调整认购确认日。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产品成立日</w:t>
            </w:r>
          </w:p>
        </w:tc>
        <w:tc>
          <w:tcPr>
            <w:tcW w:w="7513" w:type="dxa"/>
            <w:shd w:val="clear" w:color="auto" w:fill="auto"/>
            <w:vAlign w:val="center"/>
          </w:tcPr>
          <w:p>
            <w:pPr>
              <w:widowControl/>
              <w:spacing w:line="360" w:lineRule="auto"/>
              <w:rPr>
                <w:rFonts w:asciiTheme="minorEastAsia" w:hAnsiTheme="minorEastAsia" w:eastAsiaTheme="minorEastAsia"/>
                <w:spacing w:val="-3"/>
                <w:szCs w:val="21"/>
              </w:rPr>
            </w:pPr>
            <w:r>
              <w:rPr>
                <w:rFonts w:asciiTheme="minorEastAsia" w:hAnsiTheme="minorEastAsia" w:eastAsiaTheme="minorEastAsia"/>
                <w:bCs/>
                <w:iCs/>
                <w:spacing w:val="-3"/>
                <w:szCs w:val="21"/>
              </w:rPr>
              <w:t>2024年3月29日</w:t>
            </w:r>
            <w:r>
              <w:rPr>
                <w:rFonts w:hint="eastAsia" w:asciiTheme="minorEastAsia" w:hAnsiTheme="minorEastAsia" w:eastAsiaTheme="minorEastAsia"/>
                <w:spacing w:val="-3"/>
                <w:szCs w:val="21"/>
              </w:rPr>
              <w:t>，</w:t>
            </w:r>
            <w:r>
              <w:rPr>
                <w:rFonts w:hint="eastAsia" w:cs="宋体" w:asciiTheme="minorEastAsia" w:hAnsiTheme="minorEastAsia" w:eastAsiaTheme="minorEastAsia"/>
                <w:bCs/>
                <w:iCs/>
                <w:color w:val="000000"/>
                <w:szCs w:val="21"/>
              </w:rPr>
              <w:t>如认购期延长或提前终止，实际成立日以管理人发行公告为准。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产品期限</w:t>
            </w:r>
          </w:p>
        </w:tc>
        <w:tc>
          <w:tcPr>
            <w:tcW w:w="7513" w:type="dxa"/>
            <w:shd w:val="clear" w:color="auto" w:fill="auto"/>
            <w:vAlign w:val="center"/>
          </w:tcPr>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无固定存续期限，管理人有权根据产品运作情况提前终止本产品。</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开放日及申购、赎回安排</w:t>
            </w:r>
          </w:p>
        </w:tc>
        <w:tc>
          <w:tcPr>
            <w:tcW w:w="7513" w:type="dxa"/>
            <w:shd w:val="clear" w:color="auto" w:fill="auto"/>
            <w:vAlign w:val="center"/>
          </w:tcPr>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rPr>
              <w:t>本产品</w:t>
            </w:r>
            <w:r>
              <w:rPr>
                <w:rFonts w:hint="eastAsia" w:asciiTheme="minorEastAsia" w:hAnsiTheme="minorEastAsia" w:eastAsiaTheme="minorEastAsia"/>
                <w:szCs w:val="21"/>
              </w:rPr>
              <w:t>存续期内，每个自然日开放</w:t>
            </w:r>
            <w:r>
              <w:rPr>
                <w:rFonts w:asciiTheme="minorEastAsia" w:hAnsiTheme="minorEastAsia" w:eastAsiaTheme="minorEastAsia"/>
                <w:szCs w:val="21"/>
              </w:rPr>
              <w:t>。</w:t>
            </w:r>
          </w:p>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2.申购、赎回价格：</w:t>
            </w:r>
            <w:r>
              <w:rPr>
                <w:rFonts w:hint="eastAsia" w:asciiTheme="minorEastAsia" w:hAnsiTheme="minorEastAsia" w:eastAsiaTheme="minorEastAsia"/>
                <w:color w:val="000000" w:themeColor="text1"/>
                <w:szCs w:val="21"/>
                <w14:textFill>
                  <w14:solidFill>
                    <w14:schemeClr w14:val="tx1"/>
                  </w14:solidFill>
                </w14:textFill>
              </w:rPr>
              <w:t>每份1.00元。</w:t>
            </w:r>
          </w:p>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3.申购、赎回确认日：</w:t>
            </w:r>
            <w:r>
              <w:rPr>
                <w:rFonts w:hint="eastAsia" w:asciiTheme="minorEastAsia" w:hAnsiTheme="minorEastAsia" w:eastAsiaTheme="minorEastAsia"/>
                <w:color w:val="000000" w:themeColor="text1"/>
                <w:szCs w:val="21"/>
                <w14:textFill>
                  <w14:solidFill>
                    <w14:schemeClr w14:val="tx1"/>
                  </w14:solidFill>
                </w14:textFill>
              </w:rPr>
              <w:t>详见本《产品说明书》“六、理财</w:t>
            </w:r>
            <w:r>
              <w:rPr>
                <w:rFonts w:hint="eastAsia" w:asciiTheme="minorEastAsia" w:hAnsiTheme="minorEastAsia" w:eastAsiaTheme="minorEastAsia"/>
                <w:color w:val="000000" w:themeColor="text1"/>
                <w14:textFill>
                  <w14:solidFill>
                    <w14:schemeClr w14:val="tx1"/>
                  </w14:solidFill>
                </w14:textFill>
              </w:rPr>
              <w:t>产品</w:t>
            </w:r>
            <w:r>
              <w:rPr>
                <w:rFonts w:hint="eastAsia" w:asciiTheme="minorEastAsia" w:hAnsiTheme="minorEastAsia" w:eastAsiaTheme="minorEastAsia"/>
                <w:color w:val="000000" w:themeColor="text1"/>
                <w:szCs w:val="21"/>
                <w14:textFill>
                  <w14:solidFill>
                    <w14:schemeClr w14:val="tx1"/>
                  </w14:solidFill>
                </w14:textFill>
              </w:rPr>
              <w:t>的申购和赎回”。</w:t>
            </w:r>
          </w:p>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赎回款支付时间：赎回确认日后的2个工作日内，将投资者赎回金额划转至投资者资金账户。如发生巨额赎回、连续巨额赎回或产品说明书约定的其他暂停赎回或延缓支付赎回款项的特殊情况，具体支付时间以产品管理人公告为准。</w:t>
            </w:r>
          </w:p>
          <w:p>
            <w:pPr>
              <w:widowControl/>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除非另行说明，上述日期如遇非工作日或出现其他特殊情形，顺延至下一个工作日，管理人有权根据投资运作需要等因素，增加或调整开放日具体日期、申购与赎回</w:t>
            </w:r>
            <w:r>
              <w:rPr>
                <w:rFonts w:hint="eastAsia" w:asciiTheme="minorEastAsia" w:hAnsiTheme="minorEastAsia" w:eastAsiaTheme="minorEastAsia"/>
                <w:color w:val="000000" w:themeColor="text1"/>
                <w14:textFill>
                  <w14:solidFill>
                    <w14:schemeClr w14:val="tx1"/>
                  </w14:solidFill>
                </w14:textFill>
              </w:rPr>
              <w:t>安排。</w:t>
            </w:r>
          </w:p>
          <w:p>
            <w:pPr>
              <w:widowControl/>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关于销售机构实际服务时间的提示：销售机构实际受理申购/赎回的时间可能与本产品说明书的约定不一致，具体以销售机构为准。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cs="宋体"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认购</w:t>
            </w:r>
            <w:r>
              <w:rPr>
                <w:rFonts w:asciiTheme="minorEastAsia" w:hAnsiTheme="minorEastAsia" w:eastAsiaTheme="minorEastAsia"/>
                <w:color w:val="000000" w:themeColor="text1"/>
                <w:szCs w:val="21"/>
                <w14:textFill>
                  <w14:solidFill>
                    <w14:schemeClr w14:val="tx1"/>
                  </w14:solidFill>
                </w14:textFill>
              </w:rPr>
              <w:t>/申购起点金额与递增金额</w:t>
            </w:r>
          </w:p>
        </w:tc>
        <w:tc>
          <w:tcPr>
            <w:tcW w:w="7513" w:type="dxa"/>
            <w:shd w:val="clear" w:color="auto" w:fill="auto"/>
            <w:vAlign w:val="center"/>
          </w:tcPr>
          <w:p>
            <w:pPr>
              <w:widowControl/>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H类份额：认购/申购起点金额为1元，超出起点金额的部分以0.01元的整数倍递增。</w:t>
            </w:r>
          </w:p>
          <w:p>
            <w:pPr>
              <w:widowControl/>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（具体以销售机构为准）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tcPr>
          <w:p>
            <w:pPr>
              <w:widowControl/>
              <w:spacing w:line="360" w:lineRule="auto"/>
              <w:jc w:val="center"/>
              <w:rPr>
                <w:rFonts w:cs="宋体"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szCs w:val="21"/>
              </w:rPr>
              <w:t>单笔认购</w:t>
            </w:r>
            <w:r>
              <w:rPr>
                <w:rFonts w:asciiTheme="minorEastAsia" w:hAnsiTheme="minorEastAsia" w:eastAsiaTheme="minorEastAsia"/>
                <w:szCs w:val="21"/>
              </w:rPr>
              <w:t>/申购上限</w:t>
            </w:r>
          </w:p>
        </w:tc>
        <w:tc>
          <w:tcPr>
            <w:tcW w:w="7513" w:type="dxa"/>
            <w:shd w:val="clear" w:color="auto" w:fill="auto"/>
            <w:vAlign w:val="center"/>
          </w:tcPr>
          <w:p>
            <w:pPr>
              <w:widowControl/>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H类份额：单笔认购上限为0.5亿元，单笔申购上限为0.5亿元。</w:t>
            </w:r>
          </w:p>
          <w:p>
            <w:pPr>
              <w:widowControl/>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（具体以销售机构为准）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最低赎回份额及最低持有份额</w:t>
            </w:r>
          </w:p>
        </w:tc>
        <w:tc>
          <w:tcPr>
            <w:tcW w:w="7513" w:type="dxa"/>
            <w:shd w:val="clear" w:color="auto" w:fill="auto"/>
            <w:vAlign w:val="center"/>
          </w:tcPr>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本产品最低赎回份额：</w:t>
            </w:r>
          </w:p>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H类份额：0.01份</w:t>
            </w:r>
          </w:p>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本产品最低持有份额：</w:t>
            </w:r>
          </w:p>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H类份额：0.01份</w:t>
            </w:r>
          </w:p>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如投资者申请赎回将导致其持有的理财产品份额不足本产品最低持有份额时，投资者剩余份额将一次性全额赎回。</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cs="宋体"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单一投资者持有上限</w:t>
            </w:r>
          </w:p>
        </w:tc>
        <w:tc>
          <w:tcPr>
            <w:tcW w:w="7513" w:type="dxa"/>
            <w:shd w:val="clear" w:color="auto" w:fill="auto"/>
            <w:vAlign w:val="center"/>
          </w:tcPr>
          <w:p>
            <w:pPr>
              <w:widowControl/>
              <w:spacing w:line="360" w:lineRule="auto"/>
              <w:rPr>
                <w:rFonts w:cs="宋体" w:asciiTheme="minorEastAsia" w:hAnsiTheme="minorEastAsia" w:eastAsiaTheme="minorEastAsia"/>
                <w:color w:val="000000" w:themeColor="text1"/>
                <w:szCs w:val="21"/>
                <w14:textFill>
                  <w14:solidFill>
                    <w14:schemeClr w14:val="tx1"/>
                  </w14:solidFill>
                </w14:textFill>
              </w:rPr>
            </w:pPr>
            <w:bookmarkStart w:id="0" w:name="_GoBack"/>
            <w:bookmarkEnd w:id="0"/>
            <w:r>
              <w:rPr>
                <w:rFonts w:hint="eastAsia" w:cs="宋体" w:asciiTheme="minorEastAsia" w:hAnsiTheme="minorEastAsia" w:eastAsiaTheme="minorEastAsia"/>
                <w:color w:val="000000" w:themeColor="text1"/>
                <w:szCs w:val="21"/>
                <w14:textFill>
                  <w14:solidFill>
                    <w14:schemeClr w14:val="tx1"/>
                  </w14:solidFill>
                </w14:textFill>
              </w:rPr>
              <w:t>H类份额：0.5亿元；</w:t>
            </w:r>
          </w:p>
          <w:p>
            <w:pPr>
              <w:widowControl/>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且单一投资者持有份额不得超过产品总份额的</w:t>
            </w:r>
            <w:r>
              <w:rPr>
                <w:rFonts w:cs="宋体" w:asciiTheme="minorEastAsia" w:hAnsiTheme="minorEastAsia" w:eastAsiaTheme="minorEastAsia"/>
                <w:color w:val="000000" w:themeColor="text1"/>
                <w:szCs w:val="21"/>
                <w14:textFill>
                  <w14:solidFill>
                    <w14:schemeClr w14:val="tx1"/>
                  </w14:solidFill>
                </w14:textFill>
              </w:rPr>
              <w:t>50%</w:t>
            </w:r>
            <w:r>
              <w:rPr>
                <w:rFonts w:hint="eastAsia" w:cs="宋体" w:asciiTheme="minorEastAsia" w:hAnsiTheme="minorEastAsia" w:eastAsiaTheme="minorEastAsia"/>
                <w:color w:val="000000" w:themeColor="text1"/>
                <w:szCs w:val="21"/>
                <w14:textFill>
                  <w14:solidFill>
                    <w14:schemeClr w14:val="tx1"/>
                  </w14:solidFill>
                </w14:textFill>
              </w:rPr>
              <w:t>。</w:t>
            </w:r>
          </w:p>
          <w:p>
            <w:pPr>
              <w:widowControl/>
              <w:spacing w:line="360" w:lineRule="auto"/>
              <w:rPr>
                <w:rFonts w:cs="宋体"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（各销售机构的单一投资者持有上限可能存在差异，具体以销售机构为准）</w:t>
            </w:r>
          </w:p>
          <w:p>
            <w:pPr>
              <w:spacing w:line="360" w:lineRule="auto"/>
              <w:rPr>
                <w:rFonts w:asciiTheme="minorEastAsia" w:hAnsiTheme="minorEastAsia" w:eastAsiaTheme="minorEastAsia"/>
                <w:spacing w:val="-3"/>
                <w:szCs w:val="21"/>
              </w:rPr>
            </w:pPr>
            <w:r>
              <w:rPr>
                <w:rFonts w:hint="eastAsia" w:asciiTheme="minorEastAsia" w:hAnsiTheme="minorEastAsia" w:eastAsiaTheme="minorEastAsia"/>
                <w:color w:val="000000" w:themeColor="text1"/>
                <w:szCs w:val="21"/>
                <w14:textFill>
                  <w14:solidFill>
                    <w14:schemeClr w14:val="tx1"/>
                  </w14:solidFill>
                </w14:textFill>
              </w:rPr>
              <w:t>如单一投资者累计认购/申购的本产品份额数达到或者超过本产品总份额的</w:t>
            </w:r>
            <w:r>
              <w:rPr>
                <w:rFonts w:asciiTheme="minorEastAsia" w:hAnsiTheme="minorEastAsia" w:eastAsiaTheme="minorEastAsia"/>
                <w:color w:val="000000" w:themeColor="text1"/>
                <w:szCs w:val="21"/>
                <w14:textFill>
                  <w14:solidFill>
                    <w14:schemeClr w14:val="tx1"/>
                  </w14:solidFill>
                </w14:textFill>
              </w:rPr>
              <w:t>50%</w:t>
            </w:r>
            <w:r>
              <w:rPr>
                <w:rFonts w:hint="eastAsia" w:asciiTheme="minorEastAsia" w:hAnsiTheme="minorEastAsia" w:eastAsiaTheme="minorEastAsia"/>
                <w:color w:val="000000" w:themeColor="text1"/>
                <w:szCs w:val="21"/>
                <w14:textFill>
                  <w14:solidFill>
                    <w14:schemeClr w14:val="tx1"/>
                  </w14:solidFill>
                </w14:textFill>
              </w:rPr>
              <w:t>，管理人可以采取暂停接受该投资者的认购/申购申请、比例确认等方式对该投资者的认购/申购申请进行限制。投资者认购/申购的本产品份额数以认购/申购确认日公布的结果为准。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理财产品份额净值</w:t>
            </w:r>
          </w:p>
        </w:tc>
        <w:tc>
          <w:tcPr>
            <w:tcW w:w="7513" w:type="dxa"/>
            <w:shd w:val="clear" w:color="auto" w:fill="auto"/>
            <w:vAlign w:val="center"/>
          </w:tcPr>
          <w:p>
            <w:pPr>
              <w:widowControl/>
              <w:snapToGrid w:val="0"/>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本理财产品份额净值为1.00元人民币/份。</w:t>
            </w:r>
          </w:p>
          <w:p>
            <w:pPr>
              <w:widowControl/>
              <w:snapToGrid w:val="0"/>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本产品赎回价格为理财产品份额净值，但赎回价格不代表投资者最终可按照该价格获得赎回资金。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每万份已实现收益和七日年化收益率</w:t>
            </w:r>
          </w:p>
        </w:tc>
        <w:tc>
          <w:tcPr>
            <w:tcW w:w="7513" w:type="dxa"/>
            <w:shd w:val="clear" w:color="auto" w:fill="auto"/>
            <w:vAlign w:val="center"/>
          </w:tcPr>
          <w:p>
            <w:pPr>
              <w:widowControl/>
              <w:snapToGrid w:val="0"/>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每万份已实现收益=当日理财产品份额已实现收益/当日理财产品份额*10000</w:t>
            </w:r>
          </w:p>
          <w:p>
            <w:pPr>
              <w:widowControl/>
              <w:snapToGrid w:val="0"/>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精确至小数点后第4位，小数点后第5位截位。</w:t>
            </w:r>
          </w:p>
          <w:p>
            <w:pPr>
              <w:widowControl/>
              <w:snapToGrid w:val="0"/>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七日年化收益率指以本产品最近七日（含节假日）收益率所折算的产品年化收益率。产品成立不满七日时以实际日收益率折算年化收益率。</w:t>
            </w:r>
          </w:p>
          <w:p>
            <w:pPr>
              <w:spacing w:line="360" w:lineRule="auto"/>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本产品每万份已实现收益和七日年化收益率仅供投资者购买时决策参考或作为测算收益参考，并不代表该本产品实际收益或未来的表现，也不构成管理人对本产品收益的任何承诺或保证，理财收益以管理人实际支付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估值日</w:t>
            </w:r>
          </w:p>
        </w:tc>
        <w:tc>
          <w:tcPr>
            <w:tcW w:w="7513" w:type="dxa"/>
            <w:shd w:val="clear" w:color="auto" w:fill="auto"/>
            <w:vAlign w:val="center"/>
          </w:tcPr>
          <w:p>
            <w:pPr>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本理财产品存续期内</w:t>
            </w:r>
            <w:r>
              <w:rPr>
                <w:rFonts w:hint="eastAsia"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管理人</w:t>
            </w:r>
            <w:r>
              <w:rPr>
                <w:rFonts w:hint="eastAsia" w:asciiTheme="minorEastAsia" w:hAnsiTheme="minorEastAsia" w:eastAsiaTheme="minorEastAsia"/>
                <w:color w:val="000000" w:themeColor="text1"/>
                <w:szCs w:val="21"/>
                <w14:textFill>
                  <w14:solidFill>
                    <w14:schemeClr w14:val="tx1"/>
                  </w14:solidFill>
                </w14:textFill>
              </w:rPr>
              <w:t>于每日计算本产品每万份已实现收益和七日年化收益率，并于估值日后第</w:t>
            </w:r>
            <w:r>
              <w:rPr>
                <w:rFonts w:asciiTheme="minorEastAsia" w:hAnsiTheme="minorEastAsia" w:eastAsiaTheme="minorEastAsia"/>
                <w:color w:val="000000" w:themeColor="text1"/>
                <w:szCs w:val="21"/>
                <w14:textFill>
                  <w14:solidFill>
                    <w14:schemeClr w14:val="tx1"/>
                  </w14:solidFill>
                </w14:textFill>
              </w:rPr>
              <w:t>1个</w:t>
            </w:r>
            <w:r>
              <w:rPr>
                <w:rFonts w:hint="eastAsia" w:asciiTheme="minorEastAsia" w:hAnsiTheme="minorEastAsia" w:eastAsiaTheme="minorEastAsia"/>
                <w:color w:val="000000" w:themeColor="text1"/>
                <w:szCs w:val="21"/>
                <w14:textFill>
                  <w14:solidFill>
                    <w14:schemeClr w14:val="tx1"/>
                  </w14:solidFill>
                </w14:textFill>
              </w:rPr>
              <w:t>工作日公布本产品的每万份已实现收益和七日年化收益率。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资金分配</w:t>
            </w:r>
          </w:p>
        </w:tc>
        <w:tc>
          <w:tcPr>
            <w:tcW w:w="7513" w:type="dxa"/>
            <w:shd w:val="clear" w:color="auto" w:fill="auto"/>
            <w:vAlign w:val="center"/>
          </w:tcPr>
          <w:p>
            <w:pPr>
              <w:pStyle w:val="29"/>
              <w:tabs>
                <w:tab w:val="left" w:pos="286"/>
              </w:tabs>
              <w:autoSpaceDE w:val="0"/>
              <w:autoSpaceDN w:val="0"/>
              <w:snapToGrid w:val="0"/>
              <w:spacing w:line="360" w:lineRule="auto"/>
              <w:ind w:firstLine="0" w:firstLineChars="0"/>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本产品期间收益分配方式为每个工作日收益转结份额，即红利再投资。</w:t>
            </w:r>
          </w:p>
          <w:p>
            <w:pPr>
              <w:pStyle w:val="29"/>
              <w:tabs>
                <w:tab w:val="left" w:pos="286"/>
              </w:tabs>
              <w:autoSpaceDE w:val="0"/>
              <w:autoSpaceDN w:val="0"/>
              <w:snapToGrid w:val="0"/>
              <w:spacing w:line="360" w:lineRule="auto"/>
              <w:ind w:firstLine="0" w:firstLineChars="0"/>
              <w:jc w:val="left"/>
              <w:rPr>
                <w:rFonts w:cs="宋体" w:asciiTheme="minorEastAsia" w:hAnsiTheme="minorEastAsia" w:eastAsiaTheme="minorEastAsia"/>
                <w:sz w:val="22"/>
                <w:szCs w:val="22"/>
              </w:rPr>
            </w:pPr>
            <w:r>
              <w:rPr>
                <w:rFonts w:hint="eastAsia" w:cs="宋体" w:asciiTheme="minorEastAsia" w:hAnsiTheme="minorEastAsia" w:eastAsiaTheme="minorEastAsia"/>
                <w:color w:val="000000" w:themeColor="text1"/>
                <w:szCs w:val="21"/>
                <w14:textFill>
                  <w14:solidFill>
                    <w14:schemeClr w14:val="tx1"/>
                  </w14:solidFill>
                </w14:textFill>
              </w:rPr>
              <w:t>具体资金分配安排详见</w:t>
            </w:r>
            <w:r>
              <w:rPr>
                <w:rFonts w:cs="宋体" w:asciiTheme="minorEastAsia" w:hAnsiTheme="minorEastAsia" w:eastAsiaTheme="minorEastAsia"/>
                <w:color w:val="000000" w:themeColor="text1"/>
                <w:szCs w:val="21"/>
                <w14:textFill>
                  <w14:solidFill>
                    <w14:schemeClr w14:val="tx1"/>
                  </w14:solidFill>
                </w14:textFill>
              </w:rPr>
              <w:t>本《产品说明书》</w:t>
            </w:r>
            <w:r>
              <w:rPr>
                <w:rFonts w:hint="eastAsia" w:cs="宋体" w:asciiTheme="minorEastAsia" w:hAnsiTheme="minorEastAsia" w:eastAsiaTheme="minorEastAsia"/>
                <w:color w:val="000000" w:themeColor="text1"/>
                <w:szCs w:val="21"/>
                <w14:textFill>
                  <w14:solidFill>
                    <w14:schemeClr w14:val="tx1"/>
                  </w14:solidFill>
                </w14:textFill>
              </w:rPr>
              <w:t>“八、理财产品的资金分配”。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情景分析</w:t>
            </w:r>
          </w:p>
        </w:tc>
        <w:tc>
          <w:tcPr>
            <w:tcW w:w="7513" w:type="dxa"/>
            <w:shd w:val="clear" w:color="auto" w:fill="auto"/>
            <w:vAlign w:val="center"/>
          </w:tcPr>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采用模拟数据计算，仅为举例之用，不作为最终收益的计算依据：</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投资者于</w:t>
            </w:r>
            <w:r>
              <w:rPr>
                <w:rFonts w:asciiTheme="minorEastAsia" w:hAnsiTheme="minorEastAsia" w:eastAsiaTheme="minorEastAsia"/>
                <w:szCs w:val="21"/>
              </w:rPr>
              <w:t>T日（工作日）投资1,000,000.00元申购本产品，则其可得到的申购份额</w:t>
            </w:r>
            <w:r>
              <w:rPr>
                <w:rFonts w:asciiTheme="minorEastAsia" w:hAnsiTheme="minorEastAsia" w:eastAsiaTheme="minorEastAsia"/>
              </w:rPr>
              <w:t>为1</w:t>
            </w:r>
            <w:r>
              <w:rPr>
                <w:rFonts w:asciiTheme="minorEastAsia" w:hAnsiTheme="minorEastAsia" w:eastAsiaTheme="minorEastAsia"/>
                <w:szCs w:val="21"/>
              </w:rPr>
              <w:t>,000,000.00份。若产品运作至T+10后，客户收益情况如下表：</w:t>
            </w:r>
          </w:p>
          <w:tbl>
            <w:tblPr>
              <w:tblStyle w:val="16"/>
              <w:tblW w:w="6448" w:type="dxa"/>
              <w:jc w:val="center"/>
              <w:tblLayout w:type="fixed"/>
              <w:tblCellMar>
                <w:top w:w="0" w:type="dxa"/>
                <w:left w:w="108" w:type="dxa"/>
                <w:bottom w:w="0" w:type="dxa"/>
                <w:right w:w="108" w:type="dxa"/>
              </w:tblCellMar>
            </w:tblPr>
            <w:tblGrid>
              <w:gridCol w:w="780"/>
              <w:gridCol w:w="920"/>
              <w:gridCol w:w="1399"/>
              <w:gridCol w:w="1813"/>
              <w:gridCol w:w="1536"/>
            </w:tblGrid>
            <w:tr>
              <w:tblPrEx>
                <w:tblCellMar>
                  <w:top w:w="0" w:type="dxa"/>
                  <w:left w:w="108" w:type="dxa"/>
                  <w:bottom w:w="0" w:type="dxa"/>
                  <w:right w:w="108" w:type="dxa"/>
                </w:tblCellMar>
              </w:tblPrEx>
              <w:trPr>
                <w:trHeight w:val="306" w:hRule="atLeast"/>
                <w:jc w:val="center"/>
              </w:trPr>
              <w:tc>
                <w:tcPr>
                  <w:tcW w:w="1700"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asciiTheme="minorEastAsia" w:hAnsiTheme="minorEastAsia" w:eastAsiaTheme="minorEastAsia"/>
                      <w:b/>
                      <w:bCs/>
                      <w:iCs/>
                      <w:color w:val="000000"/>
                      <w:szCs w:val="21"/>
                    </w:rPr>
                  </w:pPr>
                  <w:r>
                    <w:rPr>
                      <w:rFonts w:hint="eastAsia" w:asciiTheme="minorEastAsia" w:hAnsiTheme="minorEastAsia" w:eastAsiaTheme="minorEastAsia"/>
                      <w:b/>
                      <w:bCs/>
                      <w:iCs/>
                      <w:color w:val="000000"/>
                      <w:szCs w:val="21"/>
                    </w:rPr>
                    <w:t>估值日</w:t>
                  </w:r>
                </w:p>
              </w:tc>
              <w:tc>
                <w:tcPr>
                  <w:tcW w:w="1399"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
                      <w:bCs/>
                      <w:iCs/>
                      <w:color w:val="000000"/>
                      <w:szCs w:val="21"/>
                    </w:rPr>
                  </w:pPr>
                  <w:r>
                    <w:rPr>
                      <w:rFonts w:hint="eastAsia" w:asciiTheme="minorEastAsia" w:hAnsiTheme="minorEastAsia" w:eastAsiaTheme="minorEastAsia"/>
                      <w:b/>
                      <w:bCs/>
                      <w:iCs/>
                      <w:color w:val="000000"/>
                      <w:szCs w:val="21"/>
                    </w:rPr>
                    <w:t>万份收益</w:t>
                  </w:r>
                </w:p>
              </w:tc>
              <w:tc>
                <w:tcPr>
                  <w:tcW w:w="1813"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
                      <w:bCs/>
                      <w:iCs/>
                      <w:color w:val="000000"/>
                      <w:szCs w:val="21"/>
                    </w:rPr>
                  </w:pPr>
                  <w:r>
                    <w:rPr>
                      <w:rFonts w:hint="eastAsia" w:asciiTheme="minorEastAsia" w:hAnsiTheme="minorEastAsia" w:eastAsiaTheme="minorEastAsia"/>
                      <w:b/>
                      <w:bCs/>
                      <w:iCs/>
                      <w:color w:val="000000"/>
                      <w:szCs w:val="21"/>
                    </w:rPr>
                    <w:t>持有份额</w:t>
                  </w:r>
                </w:p>
              </w:tc>
              <w:tc>
                <w:tcPr>
                  <w:tcW w:w="1536"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
                      <w:bCs/>
                      <w:iCs/>
                      <w:color w:val="000000"/>
                      <w:szCs w:val="21"/>
                    </w:rPr>
                  </w:pPr>
                  <w:r>
                    <w:rPr>
                      <w:rFonts w:hint="eastAsia" w:asciiTheme="minorEastAsia" w:hAnsiTheme="minorEastAsia" w:eastAsiaTheme="minorEastAsia"/>
                      <w:b/>
                      <w:bCs/>
                      <w:iCs/>
                      <w:color w:val="000000"/>
                      <w:szCs w:val="21"/>
                    </w:rPr>
                    <w:t>每日收益</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周四</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T+10</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1.0109</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1,000,936.69</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101.18</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周三</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T+9</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0.9925</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1,000,837.36</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99.33</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周二</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T+8</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1.0123</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1,000,736.06</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101.3</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周一</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Theme="minorEastAsia" w:hAnsiTheme="minorEastAsia" w:eastAsiaTheme="minorEastAsia"/>
                      <w:bCs/>
                      <w:iCs/>
                      <w:color w:val="000000"/>
                      <w:szCs w:val="21"/>
                    </w:rPr>
                    <w:t>T+7</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1.1231</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1,000,623.68</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112.38</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周日</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Theme="minorEastAsia" w:hAnsiTheme="minorEastAsia" w:eastAsiaTheme="minorEastAsia"/>
                      <w:bCs/>
                      <w:iCs/>
                      <w:color w:val="000000"/>
                      <w:szCs w:val="21"/>
                    </w:rPr>
                    <w:t>T+6</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1.0001</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1,000,312.46</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100.04</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周六</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Theme="minorEastAsia" w:hAnsiTheme="minorEastAsia" w:eastAsiaTheme="minorEastAsia"/>
                      <w:bCs/>
                      <w:iCs/>
                      <w:color w:val="000000"/>
                      <w:szCs w:val="21"/>
                    </w:rPr>
                    <w:t>T+5</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1.0001</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1,000,312.46</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100.04</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周五</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Theme="minorEastAsia" w:hAnsiTheme="minorEastAsia" w:eastAsiaTheme="minorEastAsia"/>
                      <w:bCs/>
                      <w:iCs/>
                      <w:color w:val="000000"/>
                      <w:szCs w:val="21"/>
                    </w:rPr>
                    <w:t>T+4</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1.1111</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1,000,312.46</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111.14</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周四</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Theme="minorEastAsia" w:hAnsiTheme="minorEastAsia" w:eastAsiaTheme="minorEastAsia"/>
                      <w:bCs/>
                      <w:iCs/>
                      <w:color w:val="000000"/>
                      <w:szCs w:val="21"/>
                    </w:rPr>
                    <w:t>T+3</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1.0321</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1,000,209.23</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103.23</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周三</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Theme="minorEastAsia" w:hAnsiTheme="minorEastAsia" w:eastAsiaTheme="minorEastAsia"/>
                      <w:bCs/>
                      <w:iCs/>
                      <w:color w:val="000000"/>
                      <w:szCs w:val="21"/>
                    </w:rPr>
                    <w:t>T+2</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1.0921</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1,000,100.01</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109.22</w:t>
                  </w:r>
                </w:p>
              </w:tc>
            </w:tr>
            <w:tr>
              <w:tblPrEx>
                <w:tblCellMar>
                  <w:top w:w="0" w:type="dxa"/>
                  <w:left w:w="108" w:type="dxa"/>
                  <w:bottom w:w="0" w:type="dxa"/>
                  <w:right w:w="108" w:type="dxa"/>
                </w:tblCellMar>
              </w:tblPrEx>
              <w:trPr>
                <w:trHeight w:val="306" w:hRule="atLeast"/>
                <w:jc w:val="center"/>
              </w:trPr>
              <w:tc>
                <w:tcPr>
                  <w:tcW w:w="78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hint="eastAsia" w:asciiTheme="minorEastAsia" w:hAnsiTheme="minorEastAsia" w:eastAsiaTheme="minorEastAsia"/>
                      <w:bCs/>
                      <w:iCs/>
                      <w:color w:val="000000"/>
                      <w:szCs w:val="21"/>
                    </w:rPr>
                    <w:t>周二</w:t>
                  </w:r>
                </w:p>
              </w:tc>
              <w:tc>
                <w:tcPr>
                  <w:tcW w:w="920"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Theme="minorEastAsia" w:hAnsiTheme="minorEastAsia" w:eastAsiaTheme="minorEastAsia"/>
                      <w:bCs/>
                      <w:iCs/>
                      <w:color w:val="000000"/>
                      <w:szCs w:val="21"/>
                    </w:rPr>
                    <w:t>T+1</w:t>
                  </w:r>
                </w:p>
              </w:tc>
              <w:tc>
                <w:tcPr>
                  <w:tcW w:w="1399" w:type="dxa"/>
                  <w:tcBorders>
                    <w:top w:val="nil"/>
                    <w:left w:val="nil"/>
                    <w:bottom w:val="single" w:color="auto" w:sz="8" w:space="0"/>
                    <w:right w:val="single" w:color="auto" w:sz="8" w:space="0"/>
                  </w:tcBorders>
                  <w:shd w:val="clear" w:color="auto" w:fill="auto"/>
                  <w:vAlign w:val="center"/>
                </w:tcPr>
                <w:p>
                  <w:pPr>
                    <w:widowControl/>
                    <w:jc w:val="center"/>
                    <w:rPr>
                      <w:rFonts w:asciiTheme="minorEastAsia" w:hAnsiTheme="minorEastAsia" w:eastAsiaTheme="minorEastAsia"/>
                      <w:bCs/>
                      <w:iCs/>
                      <w:color w:val="000000"/>
                      <w:szCs w:val="21"/>
                    </w:rPr>
                  </w:pPr>
                  <w:r>
                    <w:rPr>
                      <w:rFonts w:ascii="宋体" w:hAnsi="宋体" w:eastAsia="宋体"/>
                      <w:bCs/>
                      <w:iCs/>
                      <w:color w:val="000000"/>
                      <w:szCs w:val="21"/>
                    </w:rPr>
                    <w:t>1.0001</w:t>
                  </w:r>
                </w:p>
              </w:tc>
              <w:tc>
                <w:tcPr>
                  <w:tcW w:w="1813"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1,000,000.00</w:t>
                  </w:r>
                </w:p>
              </w:tc>
              <w:tc>
                <w:tcPr>
                  <w:tcW w:w="1536" w:type="dxa"/>
                  <w:tcBorders>
                    <w:top w:val="nil"/>
                    <w:left w:val="nil"/>
                    <w:bottom w:val="single" w:color="auto" w:sz="8" w:space="0"/>
                    <w:right w:val="single" w:color="auto" w:sz="8" w:space="0"/>
                  </w:tcBorders>
                  <w:shd w:val="clear" w:color="auto" w:fill="auto"/>
                  <w:vAlign w:val="center"/>
                </w:tcPr>
                <w:p>
                  <w:pPr>
                    <w:jc w:val="center"/>
                    <w:rPr>
                      <w:rFonts w:asciiTheme="minorEastAsia" w:hAnsiTheme="minorEastAsia" w:eastAsiaTheme="minorEastAsia"/>
                      <w:color w:val="000000"/>
                      <w:szCs w:val="21"/>
                    </w:rPr>
                  </w:pPr>
                  <w:r>
                    <w:rPr>
                      <w:rFonts w:ascii="宋体" w:hAnsi="宋体" w:eastAsia="宋体"/>
                      <w:color w:val="000000"/>
                      <w:szCs w:val="21"/>
                    </w:rPr>
                    <w:t>100.01</w:t>
                  </w:r>
                </w:p>
              </w:tc>
            </w:tr>
            <w:tr>
              <w:tblPrEx>
                <w:tblCellMar>
                  <w:top w:w="0" w:type="dxa"/>
                  <w:left w:w="108" w:type="dxa"/>
                  <w:bottom w:w="0" w:type="dxa"/>
                  <w:right w:w="108" w:type="dxa"/>
                </w:tblCellMar>
              </w:tblPrEx>
              <w:trPr>
                <w:trHeight w:val="306" w:hRule="atLeast"/>
                <w:jc w:val="center"/>
              </w:trPr>
              <w:tc>
                <w:tcPr>
                  <w:tcW w:w="3099"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asciiTheme="minorEastAsia" w:hAnsiTheme="minorEastAsia" w:eastAsiaTheme="minorEastAsia"/>
                      <w:b/>
                      <w:bCs/>
                      <w:iCs/>
                      <w:color w:val="000000"/>
                      <w:szCs w:val="21"/>
                    </w:rPr>
                  </w:pPr>
                  <w:r>
                    <w:rPr>
                      <w:rFonts w:hint="eastAsia" w:asciiTheme="minorEastAsia" w:hAnsiTheme="minorEastAsia" w:eastAsiaTheme="minorEastAsia"/>
                      <w:b/>
                      <w:bCs/>
                      <w:iCs/>
                      <w:color w:val="000000"/>
                      <w:szCs w:val="21"/>
                    </w:rPr>
                    <w:t>T日提交申购申请，T</w:t>
                  </w:r>
                  <w:r>
                    <w:rPr>
                      <w:rFonts w:asciiTheme="minorEastAsia" w:hAnsiTheme="minorEastAsia" w:eastAsiaTheme="minorEastAsia"/>
                      <w:b/>
                      <w:bCs/>
                      <w:iCs/>
                      <w:color w:val="000000"/>
                      <w:szCs w:val="21"/>
                    </w:rPr>
                    <w:t>+1</w:t>
                  </w:r>
                  <w:r>
                    <w:rPr>
                      <w:rFonts w:hint="eastAsia" w:asciiTheme="minorEastAsia" w:hAnsiTheme="minorEastAsia" w:eastAsiaTheme="minorEastAsia"/>
                      <w:b/>
                      <w:bCs/>
                      <w:iCs/>
                      <w:color w:val="000000"/>
                      <w:szCs w:val="21"/>
                    </w:rPr>
                    <w:t>日确认申购成功</w:t>
                  </w:r>
                </w:p>
              </w:tc>
              <w:tc>
                <w:tcPr>
                  <w:tcW w:w="3349"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Theme="minorEastAsia" w:hAnsiTheme="minorEastAsia" w:eastAsiaTheme="minorEastAsia"/>
                      <w:b/>
                      <w:bCs/>
                      <w:iCs/>
                      <w:color w:val="000000"/>
                      <w:szCs w:val="21"/>
                    </w:rPr>
                  </w:pPr>
                  <w:r>
                    <w:rPr>
                      <w:rFonts w:asciiTheme="minorEastAsia" w:hAnsiTheme="minorEastAsia" w:eastAsiaTheme="minorEastAsia"/>
                      <w:b/>
                      <w:bCs/>
                      <w:iCs/>
                      <w:color w:val="000000"/>
                      <w:szCs w:val="21"/>
                    </w:rPr>
                    <w:t>10000</w:t>
                  </w:r>
                  <w:r>
                    <w:rPr>
                      <w:rFonts w:hint="eastAsia" w:asciiTheme="minorEastAsia" w:hAnsiTheme="minorEastAsia" w:eastAsiaTheme="minorEastAsia"/>
                      <w:b/>
                      <w:bCs/>
                      <w:iCs/>
                      <w:color w:val="000000"/>
                      <w:szCs w:val="21"/>
                    </w:rPr>
                    <w:t>00</w:t>
                  </w:r>
                </w:p>
              </w:tc>
            </w:tr>
          </w:tbl>
          <w:p>
            <w:pPr>
              <w:widowControl/>
              <w:jc w:val="left"/>
              <w:rPr>
                <w:rFonts w:asciiTheme="minorEastAsia" w:hAnsiTheme="minorEastAsia" w:eastAsiaTheme="minorEastAsia"/>
                <w:szCs w:val="21"/>
              </w:rPr>
            </w:pP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每日收益</w:t>
            </w:r>
            <w:r>
              <w:rPr>
                <w:rFonts w:asciiTheme="minorEastAsia" w:hAnsiTheme="minorEastAsia" w:eastAsiaTheme="minorEastAsia"/>
                <w:szCs w:val="21"/>
              </w:rPr>
              <w:t>=持有份额*每万份收益/10000，例如</w:t>
            </w:r>
            <w:r>
              <w:rPr>
                <w:rFonts w:hint="eastAsia" w:asciiTheme="minorEastAsia" w:hAnsiTheme="minorEastAsia" w:eastAsiaTheme="minorEastAsia"/>
                <w:szCs w:val="21"/>
              </w:rPr>
              <w:t>：</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 xml:space="preserve">T+1日收益=1,000,000.00*(1.0001/10000)=100.01元，累计收益100.01元 </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T+2日收益=1,000,100.01*(1.0921/10000)=109.22元，累计收益209.23元</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T+3日收益=1,000,209.23*(1.0321/10000)=103.23元，累计收益312.46元</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T+4日收益=1,000,312.46*(1.1111/10000) =111.14元，累计收益423.60元</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T+5日收益=1,000,312.46*(1.0001/10000) =100.04元，累计收益523.64元</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T+6日收益=1,000,312.46*(1.0001/10000)=100.04元，累计收益623.68元</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T+7日收益=1,000,623.68*(1.1231/10000)=112.38元，累计收益736.06元</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T+8日收益=1,000,736.06*(1.0123/10000)=101.30元，累计收益837.36元</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T+9日收益=1,000,837.36*(0.9925/10000)=99.33元，累计收益936.69元</w:t>
            </w:r>
          </w:p>
          <w:p>
            <w:pPr>
              <w:widowControl/>
              <w:jc w:val="left"/>
              <w:rPr>
                <w:rFonts w:asciiTheme="minorEastAsia" w:hAnsiTheme="minorEastAsia" w:eastAsiaTheme="minorEastAsia"/>
                <w:szCs w:val="21"/>
              </w:rPr>
            </w:pPr>
            <w:r>
              <w:rPr>
                <w:rFonts w:hint="eastAsia" w:asciiTheme="minorEastAsia" w:hAnsiTheme="minorEastAsia" w:eastAsiaTheme="minorEastAsia"/>
                <w:szCs w:val="21"/>
              </w:rPr>
              <w:t>T+10日收益=1,000,936.69*(1.0109/10000)=101.18元，累计收益1037.87元</w:t>
            </w:r>
          </w:p>
          <w:p>
            <w:pPr>
              <w:widowControl/>
              <w:jc w:val="left"/>
              <w:rPr>
                <w:rFonts w:asciiTheme="minorEastAsia" w:hAnsiTheme="minorEastAsia" w:eastAsiaTheme="minorEastAsia"/>
              </w:rPr>
            </w:pPr>
            <w:r>
              <w:rPr>
                <w:rFonts w:hint="eastAsia" w:asciiTheme="minorEastAsia" w:hAnsiTheme="minorEastAsia" w:eastAsiaTheme="minorEastAsia"/>
                <w:szCs w:val="21"/>
              </w:rPr>
              <w:t>注：当日每万份理财产品已实现收益以产品管理人实际公布为准</w:t>
            </w:r>
            <w:r>
              <w:rPr>
                <w:rFonts w:hint="eastAsia" w:asciiTheme="minorEastAsia" w:hAnsiTheme="minorEastAsia" w:eastAsiaTheme="minorEastAsia"/>
              </w:rPr>
              <w:t>。</w:t>
            </w:r>
          </w:p>
          <w:p>
            <w:pPr>
              <w:widowControl/>
              <w:jc w:val="left"/>
              <w:rPr>
                <w:rFonts w:asciiTheme="minorEastAsia" w:hAnsiTheme="minorEastAsia" w:eastAsiaTheme="minorEastAsia"/>
                <w:b/>
                <w:szCs w:val="21"/>
              </w:rPr>
            </w:pPr>
            <w:r>
              <w:rPr>
                <w:rFonts w:hint="eastAsia" w:asciiTheme="minorEastAsia" w:hAnsiTheme="minorEastAsia" w:eastAsiaTheme="minorEastAsia"/>
                <w:b/>
                <w:szCs w:val="21"/>
              </w:rPr>
              <w:t>最不利投资情形：如出现债券发行人不兑付债券、交易对手违约等其他极端情况，产品运作到期后投资者无收益，并将损失全部投资本金。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费用</w:t>
            </w:r>
          </w:p>
        </w:tc>
        <w:tc>
          <w:tcPr>
            <w:tcW w:w="7513" w:type="dxa"/>
            <w:shd w:val="clear" w:color="auto" w:fill="auto"/>
            <w:vAlign w:val="center"/>
          </w:tcPr>
          <w:p>
            <w:pPr>
              <w:widowControl/>
              <w:spacing w:line="360" w:lineRule="auto"/>
              <w:rPr>
                <w:rFonts w:asciiTheme="minorEastAsia" w:hAnsiTheme="minorEastAsia" w:eastAsiaTheme="minorEastAsia"/>
                <w:b/>
                <w:szCs w:val="21"/>
              </w:rPr>
            </w:pPr>
            <w:r>
              <w:rPr>
                <w:rFonts w:asciiTheme="minorEastAsia" w:hAnsiTheme="minorEastAsia" w:eastAsiaTheme="minorEastAsia"/>
                <w:b/>
                <w:szCs w:val="21"/>
              </w:rPr>
              <w:t>1.</w:t>
            </w:r>
            <w:r>
              <w:rPr>
                <w:rFonts w:hint="eastAsia" w:asciiTheme="minorEastAsia" w:hAnsiTheme="minorEastAsia" w:eastAsiaTheme="minorEastAsia"/>
                <w:b/>
                <w:szCs w:val="21"/>
              </w:rPr>
              <w:t>认购费：本产品不收取认购费。</w:t>
            </w:r>
          </w:p>
          <w:p>
            <w:pPr>
              <w:widowControl/>
              <w:spacing w:line="360" w:lineRule="auto"/>
              <w:rPr>
                <w:rFonts w:asciiTheme="minorEastAsia" w:hAnsiTheme="minorEastAsia" w:eastAsiaTheme="minorEastAsia"/>
                <w:b/>
                <w:szCs w:val="21"/>
              </w:rPr>
            </w:pPr>
            <w:r>
              <w:rPr>
                <w:rFonts w:asciiTheme="minorEastAsia" w:hAnsiTheme="minorEastAsia" w:eastAsiaTheme="minorEastAsia"/>
                <w:b/>
                <w:szCs w:val="21"/>
              </w:rPr>
              <w:t>2.</w:t>
            </w:r>
            <w:r>
              <w:rPr>
                <w:rFonts w:hint="eastAsia" w:asciiTheme="minorEastAsia" w:hAnsiTheme="minorEastAsia" w:eastAsiaTheme="minorEastAsia"/>
                <w:b/>
                <w:szCs w:val="21"/>
              </w:rPr>
              <w:t>申购费：本产品不收取申购费。</w:t>
            </w:r>
          </w:p>
          <w:p>
            <w:pPr>
              <w:widowControl/>
              <w:spacing w:line="360" w:lineRule="auto"/>
              <w:rPr>
                <w:rFonts w:asciiTheme="minorEastAsia" w:hAnsiTheme="minorEastAsia" w:eastAsiaTheme="minorEastAsia"/>
                <w:b/>
                <w:szCs w:val="21"/>
              </w:rPr>
            </w:pPr>
            <w:r>
              <w:rPr>
                <w:rFonts w:asciiTheme="minorEastAsia" w:hAnsiTheme="minorEastAsia" w:eastAsiaTheme="minorEastAsia"/>
                <w:b/>
                <w:szCs w:val="21"/>
              </w:rPr>
              <w:t>3.</w:t>
            </w:r>
            <w:r>
              <w:rPr>
                <w:rFonts w:hint="eastAsia" w:asciiTheme="minorEastAsia" w:hAnsiTheme="minorEastAsia" w:eastAsiaTheme="minorEastAsia"/>
                <w:b/>
                <w:szCs w:val="21"/>
              </w:rPr>
              <w:t>强制赎回费：</w:t>
            </w:r>
          </w:p>
          <w:p>
            <w:pPr>
              <w:widowControl/>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1）在满足相关流动性风险管理要求的前提下，当本产品持有的现金、国债、中央银行票据、政策性金融债券以及5</w:t>
            </w:r>
            <w:r>
              <w:rPr>
                <w:rFonts w:hint="eastAsia" w:asciiTheme="minorEastAsia" w:hAnsiTheme="minorEastAsia" w:eastAsiaTheme="minorEastAsia"/>
                <w:b/>
                <w:szCs w:val="21"/>
              </w:rPr>
              <w:t>个交易日内到期的其他金融工具占本产品资产净值的比例合计低于</w:t>
            </w:r>
            <w:r>
              <w:rPr>
                <w:rFonts w:asciiTheme="minorEastAsia" w:hAnsiTheme="minorEastAsia" w:eastAsiaTheme="minorEastAsia"/>
                <w:b/>
                <w:szCs w:val="21"/>
              </w:rPr>
              <w:t>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widowControl/>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w:t>
            </w:r>
            <w:r>
              <w:rPr>
                <w:rFonts w:asciiTheme="minorEastAsia" w:hAnsiTheme="minorEastAsia" w:eastAsiaTheme="minorEastAsia"/>
                <w:b/>
                <w:szCs w:val="21"/>
              </w:rPr>
              <w:t>2）本产品前10名投资者的持有份额合计超过本产品总份额50%的，当投资组合中现金、国债、中央银行票据、政策性金融债券以及5</w:t>
            </w:r>
            <w:r>
              <w:rPr>
                <w:rFonts w:hint="eastAsia" w:asciiTheme="minorEastAsia" w:hAnsiTheme="minorEastAsia" w:eastAsiaTheme="minorEastAsia"/>
                <w:b/>
                <w:szCs w:val="21"/>
              </w:rPr>
              <w:t>个交易日内到期的其他金融工具占本产品资产净值的比例合计低于</w:t>
            </w:r>
            <w:r>
              <w:rPr>
                <w:rFonts w:asciiTheme="minorEastAsia" w:hAnsiTheme="minorEastAsia" w:eastAsiaTheme="minorEastAsia"/>
                <w:b/>
                <w:szCs w:val="21"/>
              </w:rPr>
              <w:t>10%且偏离度为负时，管理人有权对投资者超过本产品总份额1%以上的赎回申请征收1%的强制赎回费用。</w:t>
            </w:r>
          </w:p>
          <w:p>
            <w:pPr>
              <w:widowControl/>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法律法规或监管机构另有规定的，从其规定。</w:t>
            </w:r>
          </w:p>
          <w:p>
            <w:pPr>
              <w:widowControl/>
              <w:spacing w:line="360" w:lineRule="auto"/>
              <w:rPr>
                <w:rFonts w:asciiTheme="minorEastAsia" w:hAnsiTheme="minorEastAsia" w:eastAsiaTheme="minorEastAsia"/>
                <w:b/>
                <w:szCs w:val="21"/>
              </w:rPr>
            </w:pPr>
            <w:r>
              <w:rPr>
                <w:rFonts w:asciiTheme="minorEastAsia" w:hAnsiTheme="minorEastAsia" w:eastAsiaTheme="minorEastAsia"/>
                <w:b/>
                <w:szCs w:val="21"/>
              </w:rPr>
              <w:t>4.销售服务费：0.50%/年</w:t>
            </w:r>
          </w:p>
          <w:p>
            <w:pPr>
              <w:widowControl/>
              <w:spacing w:line="360" w:lineRule="auto"/>
              <w:rPr>
                <w:rFonts w:asciiTheme="minorEastAsia" w:hAnsiTheme="minorEastAsia" w:eastAsiaTheme="minorEastAsia"/>
                <w:b/>
                <w:szCs w:val="21"/>
              </w:rPr>
            </w:pPr>
            <w:r>
              <w:rPr>
                <w:rFonts w:asciiTheme="minorEastAsia" w:hAnsiTheme="minorEastAsia" w:eastAsiaTheme="minorEastAsia"/>
                <w:b/>
                <w:szCs w:val="21"/>
              </w:rPr>
              <w:t>5.固定管理费：</w:t>
            </w:r>
            <w:r>
              <w:rPr>
                <w:rFonts w:hint="eastAsia" w:asciiTheme="minorEastAsia" w:hAnsiTheme="minorEastAsia" w:eastAsiaTheme="minorEastAsia"/>
                <w:b/>
                <w:color w:val="000000" w:themeColor="text1"/>
                <w:szCs w:val="21"/>
                <w14:textFill>
                  <w14:solidFill>
                    <w14:schemeClr w14:val="tx1"/>
                  </w14:solidFill>
                </w14:textFill>
              </w:rPr>
              <w:t>0.50%/年</w:t>
            </w:r>
          </w:p>
          <w:p>
            <w:pPr>
              <w:widowControl/>
              <w:spacing w:line="360" w:lineRule="auto"/>
              <w:rPr>
                <w:rFonts w:asciiTheme="minorEastAsia" w:hAnsiTheme="minorEastAsia" w:eastAsiaTheme="minorEastAsia"/>
                <w:b/>
                <w:szCs w:val="21"/>
              </w:rPr>
            </w:pPr>
            <w:r>
              <w:rPr>
                <w:rFonts w:asciiTheme="minorEastAsia" w:hAnsiTheme="minorEastAsia" w:eastAsiaTheme="minorEastAsia"/>
                <w:b/>
                <w:szCs w:val="21"/>
              </w:rPr>
              <w:t>6.</w:t>
            </w:r>
            <w:r>
              <w:rPr>
                <w:rFonts w:hint="eastAsia" w:asciiTheme="minorEastAsia" w:hAnsiTheme="minorEastAsia" w:eastAsiaTheme="minorEastAsia"/>
                <w:b/>
                <w:szCs w:val="21"/>
              </w:rPr>
              <w:t>托管费：</w:t>
            </w:r>
            <w:r>
              <w:rPr>
                <w:rFonts w:asciiTheme="minorEastAsia" w:hAnsiTheme="minorEastAsia" w:eastAsiaTheme="minorEastAsia"/>
                <w:b/>
                <w:szCs w:val="21"/>
              </w:rPr>
              <w:t>0.05%/年</w:t>
            </w:r>
          </w:p>
          <w:p>
            <w:pPr>
              <w:widowControl/>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其他产品费用信息详见</w:t>
            </w:r>
            <w:r>
              <w:rPr>
                <w:rFonts w:asciiTheme="minorEastAsia" w:hAnsiTheme="minorEastAsia" w:eastAsiaTheme="minorEastAsia"/>
                <w:b/>
                <w:szCs w:val="21"/>
              </w:rPr>
              <w:t>本《产品说明书》</w:t>
            </w:r>
            <w:r>
              <w:rPr>
                <w:rFonts w:hint="eastAsia" w:asciiTheme="minorEastAsia" w:hAnsiTheme="minorEastAsia" w:eastAsiaTheme="minorEastAsia"/>
                <w:b/>
                <w:szCs w:val="21"/>
              </w:rPr>
              <w:t>“十、理财产品费用与税收”。费用均精确到小数点后</w:t>
            </w:r>
            <w:r>
              <w:rPr>
                <w:rFonts w:asciiTheme="minorEastAsia" w:hAnsiTheme="minorEastAsia" w:eastAsiaTheme="minorEastAsia"/>
                <w:b/>
                <w:szCs w:val="21"/>
              </w:rPr>
              <w:t>2位。</w:t>
            </w:r>
          </w:p>
          <w:p>
            <w:pPr>
              <w:widowControl/>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产品管理人保留变更上述理财产品收取费率标准的权利，具体以产品管理人公告为准。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980" w:type="dxa"/>
            <w:shd w:val="clear" w:color="auto" w:fill="auto"/>
            <w:vAlign w:val="center"/>
          </w:tcPr>
          <w:p>
            <w:pPr>
              <w:widowControl/>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税收</w:t>
            </w:r>
          </w:p>
        </w:tc>
        <w:tc>
          <w:tcPr>
            <w:tcW w:w="7513" w:type="dxa"/>
            <w:shd w:val="clear" w:color="auto" w:fill="auto"/>
            <w:vAlign w:val="center"/>
          </w:tcPr>
          <w:p>
            <w:pPr>
              <w:widowControl/>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本理财产品运作过程中涉及的各纳税主体，其纳税义务按国家税收法律、法规执行，除法律法规特别要求外，投资者应缴纳的税收由投资者负责，产品管理人不承担代扣代缴或纳税的义务。详见</w:t>
            </w:r>
            <w:r>
              <w:rPr>
                <w:rFonts w:asciiTheme="minorEastAsia" w:hAnsiTheme="minorEastAsia" w:eastAsiaTheme="minorEastAsia"/>
                <w:color w:val="000000" w:themeColor="text1"/>
                <w:szCs w:val="21"/>
                <w14:textFill>
                  <w14:solidFill>
                    <w14:schemeClr w14:val="tx1"/>
                  </w14:solidFill>
                </w14:textFill>
              </w:rPr>
              <w:t>本《产品说明书》</w:t>
            </w:r>
            <w:r>
              <w:rPr>
                <w:rFonts w:hint="eastAsia" w:asciiTheme="minorEastAsia" w:hAnsiTheme="minorEastAsia" w:eastAsiaTheme="minorEastAsia"/>
                <w:color w:val="000000" w:themeColor="text1"/>
                <w:szCs w:val="21"/>
                <w14:textFill>
                  <w14:solidFill>
                    <w14:schemeClr w14:val="tx1"/>
                  </w14:solidFill>
                </w14:textFill>
              </w:rPr>
              <w:t>“十、理财产品费用与税收”。</w:t>
            </w:r>
          </w:p>
        </w:tc>
      </w:tr>
    </w:tbl>
    <w:p>
      <w:pPr>
        <w:autoSpaceDE w:val="0"/>
        <w:autoSpaceDN w:val="0"/>
        <w:spacing w:line="360" w:lineRule="auto"/>
        <w:ind w:firstLine="426"/>
        <w:rPr>
          <w:rFonts w:asciiTheme="minorEastAsia" w:hAnsiTheme="minorEastAsia" w:eastAsiaTheme="minorEastAsia"/>
          <w:b/>
          <w:szCs w:val="21"/>
        </w:rPr>
      </w:pPr>
    </w:p>
    <w:p>
      <w:pPr>
        <w:snapToGrid w:val="0"/>
        <w:spacing w:before="240" w:beforeLines="10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三、理财产品投资管理</w:t>
      </w:r>
    </w:p>
    <w:p>
      <w:pPr>
        <w:spacing w:line="360" w:lineRule="auto"/>
        <w:ind w:firstLine="421" w:firstLineChars="200"/>
        <w:rPr>
          <w:rFonts w:asciiTheme="minorEastAsia" w:hAnsiTheme="minorEastAsia" w:eastAsiaTheme="minorEastAsia"/>
          <w:b/>
          <w:szCs w:val="21"/>
        </w:rPr>
      </w:pPr>
      <w:r>
        <w:rPr>
          <w:rFonts w:hint="eastAsia" w:asciiTheme="minorEastAsia" w:hAnsiTheme="minorEastAsia" w:eastAsiaTheme="minorEastAsia"/>
          <w:b/>
          <w:szCs w:val="21"/>
        </w:rPr>
        <w:t>（一）投资目标</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本产品为现金管理类理财产品，在严控风险的前提下，力争在满足投资者流动性需求的同时，为投资者带来超越业绩比较基准的投资回报。</w:t>
      </w:r>
    </w:p>
    <w:p>
      <w:pPr>
        <w:widowControl/>
        <w:spacing w:line="360" w:lineRule="auto"/>
        <w:ind w:firstLine="422"/>
        <w:rPr>
          <w:rFonts w:cs="宋体" w:asciiTheme="minorEastAsia" w:hAnsiTheme="minorEastAsia" w:eastAsiaTheme="minorEastAsia"/>
          <w:b/>
          <w:bCs/>
          <w:color w:val="000000" w:themeColor="text1"/>
          <w:szCs w:val="21"/>
          <w14:textFill>
            <w14:solidFill>
              <w14:schemeClr w14:val="tx1"/>
            </w14:solidFill>
          </w14:textFill>
        </w:rPr>
      </w:pPr>
      <w:r>
        <w:rPr>
          <w:rFonts w:hint="eastAsia" w:cs="宋体" w:asciiTheme="minorEastAsia" w:hAnsiTheme="minorEastAsia" w:eastAsiaTheme="minorEastAsia"/>
          <w:b/>
          <w:bCs/>
          <w:color w:val="000000" w:themeColor="text1"/>
          <w:szCs w:val="21"/>
          <w14:textFill>
            <w14:solidFill>
              <w14:schemeClr w14:val="tx1"/>
            </w14:solidFill>
          </w14:textFill>
        </w:rPr>
        <w:t>（二）投资策略</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本产品通过</w:t>
      </w:r>
      <w:r>
        <w:rPr>
          <w:rFonts w:hint="eastAsia" w:asciiTheme="minorEastAsia" w:hAnsiTheme="minorEastAsia" w:eastAsiaTheme="minorEastAsia"/>
          <w:szCs w:val="21"/>
        </w:rPr>
        <w:t>对</w:t>
      </w:r>
      <w:r>
        <w:rPr>
          <w:rFonts w:hint="eastAsia" w:asciiTheme="minorEastAsia" w:hAnsiTheme="minorEastAsia" w:eastAsiaTheme="minorEastAsia"/>
        </w:rPr>
        <w:t>经济</w:t>
      </w:r>
      <w:r>
        <w:rPr>
          <w:rFonts w:hint="eastAsia" w:asciiTheme="minorEastAsia" w:hAnsiTheme="minorEastAsia" w:eastAsiaTheme="minorEastAsia"/>
          <w:szCs w:val="21"/>
        </w:rPr>
        <w:t>形势、货币</w:t>
      </w:r>
      <w:r>
        <w:rPr>
          <w:rFonts w:hint="eastAsia" w:asciiTheme="minorEastAsia" w:hAnsiTheme="minorEastAsia" w:eastAsiaTheme="minorEastAsia"/>
        </w:rPr>
        <w:t>政策</w:t>
      </w:r>
      <w:r>
        <w:rPr>
          <w:rFonts w:hint="eastAsia" w:asciiTheme="minorEastAsia" w:hAnsiTheme="minorEastAsia" w:eastAsiaTheme="minorEastAsia"/>
          <w:szCs w:val="21"/>
        </w:rPr>
        <w:t>及财政政策</w:t>
      </w:r>
      <w:r>
        <w:rPr>
          <w:rFonts w:hint="eastAsia" w:asciiTheme="minorEastAsia" w:hAnsiTheme="minorEastAsia" w:eastAsiaTheme="minorEastAsia"/>
        </w:rPr>
        <w:t>等宏观要素</w:t>
      </w:r>
      <w:r>
        <w:rPr>
          <w:rFonts w:hint="eastAsia" w:asciiTheme="minorEastAsia" w:hAnsiTheme="minorEastAsia" w:eastAsiaTheme="minorEastAsia"/>
          <w:szCs w:val="21"/>
        </w:rPr>
        <w:t>进行</w:t>
      </w:r>
      <w:r>
        <w:rPr>
          <w:rFonts w:hint="eastAsia" w:asciiTheme="minorEastAsia" w:hAnsiTheme="minorEastAsia" w:eastAsiaTheme="minorEastAsia"/>
        </w:rPr>
        <w:t>分析，</w:t>
      </w:r>
      <w:r>
        <w:rPr>
          <w:rFonts w:hint="eastAsia" w:asciiTheme="minorEastAsia" w:hAnsiTheme="minorEastAsia" w:eastAsiaTheme="minorEastAsia"/>
          <w:szCs w:val="21"/>
        </w:rPr>
        <w:t>并</w:t>
      </w:r>
      <w:r>
        <w:rPr>
          <w:rFonts w:hint="eastAsia" w:asciiTheme="minorEastAsia" w:hAnsiTheme="minorEastAsia" w:eastAsiaTheme="minorEastAsia"/>
        </w:rPr>
        <w:t>结合</w:t>
      </w:r>
      <w:r>
        <w:rPr>
          <w:rFonts w:hint="eastAsia" w:asciiTheme="minorEastAsia" w:hAnsiTheme="minorEastAsia" w:eastAsiaTheme="minorEastAsia"/>
          <w:szCs w:val="21"/>
        </w:rPr>
        <w:t>各</w:t>
      </w:r>
      <w:r>
        <w:rPr>
          <w:rFonts w:hint="eastAsia" w:asciiTheme="minorEastAsia" w:hAnsiTheme="minorEastAsia" w:eastAsiaTheme="minorEastAsia"/>
        </w:rPr>
        <w:t>投资</w:t>
      </w:r>
      <w:r>
        <w:rPr>
          <w:rFonts w:hint="eastAsia" w:asciiTheme="minorEastAsia" w:hAnsiTheme="minorEastAsia" w:eastAsiaTheme="minorEastAsia"/>
          <w:szCs w:val="21"/>
        </w:rPr>
        <w:t>品种的</w:t>
      </w:r>
      <w:r>
        <w:rPr>
          <w:rFonts w:hint="eastAsia" w:asciiTheme="minorEastAsia" w:hAnsiTheme="minorEastAsia" w:eastAsiaTheme="minorEastAsia"/>
        </w:rPr>
        <w:t>风险收益</w:t>
      </w:r>
      <w:r>
        <w:rPr>
          <w:rFonts w:hint="eastAsia" w:asciiTheme="minorEastAsia" w:hAnsiTheme="minorEastAsia" w:eastAsiaTheme="minorEastAsia"/>
          <w:szCs w:val="21"/>
        </w:rPr>
        <w:t>比，进行</w:t>
      </w:r>
      <w:r>
        <w:rPr>
          <w:rFonts w:hint="eastAsia" w:asciiTheme="minorEastAsia" w:hAnsiTheme="minorEastAsia" w:eastAsiaTheme="minorEastAsia"/>
        </w:rPr>
        <w:t>具体投资策略</w:t>
      </w:r>
      <w:r>
        <w:rPr>
          <w:rFonts w:hint="eastAsia" w:asciiTheme="minorEastAsia" w:hAnsiTheme="minorEastAsia" w:eastAsiaTheme="minorEastAsia"/>
          <w:szCs w:val="21"/>
        </w:rPr>
        <w:t>和个券配置的选择。产品整体上采取久期策略、类属</w:t>
      </w:r>
      <w:r>
        <w:rPr>
          <w:rFonts w:hint="eastAsia" w:asciiTheme="minorEastAsia" w:hAnsiTheme="minorEastAsia" w:eastAsiaTheme="minorEastAsia"/>
        </w:rPr>
        <w:t>策略</w:t>
      </w:r>
      <w:r>
        <w:rPr>
          <w:rFonts w:hint="eastAsia" w:asciiTheme="minorEastAsia" w:hAnsiTheme="minorEastAsia" w:eastAsiaTheme="minorEastAsia"/>
          <w:szCs w:val="21"/>
        </w:rPr>
        <w:t>、杠杆策略、利差交易策略等，并通过骑乘以及波段策略对组合收益进行增厚</w:t>
      </w:r>
      <w:r>
        <w:rPr>
          <w:rFonts w:hint="eastAsia" w:asciiTheme="minorEastAsia" w:hAnsiTheme="minorEastAsia" w:eastAsiaTheme="minorEastAsia"/>
        </w:rPr>
        <w:t>。</w:t>
      </w:r>
    </w:p>
    <w:p>
      <w:pPr>
        <w:spacing w:line="360" w:lineRule="auto"/>
        <w:ind w:firstLine="421" w:firstLineChars="200"/>
        <w:rPr>
          <w:rFonts w:asciiTheme="minorEastAsia" w:hAnsiTheme="minorEastAsia" w:eastAsiaTheme="minorEastAsia"/>
          <w:b/>
          <w:szCs w:val="21"/>
        </w:rPr>
      </w:pPr>
      <w:r>
        <w:rPr>
          <w:rFonts w:hint="eastAsia" w:asciiTheme="minorEastAsia" w:hAnsiTheme="minorEastAsia" w:eastAsiaTheme="minorEastAsia"/>
          <w:b/>
          <w:szCs w:val="21"/>
        </w:rPr>
        <w:t>（三）投资范围</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1.本</w:t>
      </w:r>
      <w:r>
        <w:rPr>
          <w:rFonts w:hint="eastAsia" w:asciiTheme="minorEastAsia" w:hAnsiTheme="minorEastAsia" w:eastAsiaTheme="minorEastAsia"/>
          <w:szCs w:val="21"/>
        </w:rPr>
        <w:t>产品募集的资金可直接或间接通过信托、证券、基金、期货、保险等资产管理机构依法设立的资产管理产品投资于以下资产，包括但不限于</w:t>
      </w:r>
      <w:r>
        <w:rPr>
          <w:rFonts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 xml:space="preserve">1）现金； </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 xml:space="preserve">2）期限在1年以内（含1年）的银行存款、债券回购、中央银行票据、同业存单； </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 xml:space="preserve">3）剩余期限在397天以内（含397天）的债券，在银行间市场和证券交易所市场发行的资产支持证券； </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color w:val="000000"/>
          <w:szCs w:val="21"/>
        </w:rPr>
        <w:t>国家金融监督管理总局</w:t>
      </w:r>
      <w:r>
        <w:rPr>
          <w:rFonts w:asciiTheme="minorEastAsia" w:hAnsiTheme="minorEastAsia" w:eastAsiaTheme="minorEastAsia"/>
          <w:szCs w:val="21"/>
        </w:rPr>
        <w:t>、中国人民银行认可的其他具有良好流动性的货币市场工具。</w:t>
      </w:r>
    </w:p>
    <w:p>
      <w:pPr>
        <w:pStyle w:val="6"/>
        <w:spacing w:line="360" w:lineRule="auto"/>
        <w:ind w:firstLine="421" w:firstLineChars="200"/>
        <w:rPr>
          <w:rFonts w:cs="微软雅黑" w:asciiTheme="minorEastAsia" w:hAnsiTheme="minorEastAsia" w:eastAsiaTheme="minorEastAsia"/>
          <w:b/>
          <w:szCs w:val="21"/>
        </w:rPr>
      </w:pPr>
      <w:r>
        <w:rPr>
          <w:rFonts w:hint="eastAsia" w:cs="微软雅黑" w:asciiTheme="minorEastAsia" w:hAnsiTheme="minorEastAsia" w:eastAsiaTheme="minorEastAsia"/>
          <w:b/>
          <w:szCs w:val="21"/>
        </w:rPr>
        <w:t>特别提示：本理财产品可开展回购业务。投资者已充分理解并接受本理财产品因开展回购所产生的信用风险、流动性风险、利率风险等风险。</w:t>
      </w:r>
    </w:p>
    <w:p>
      <w:pPr>
        <w:pStyle w:val="6"/>
        <w:spacing w:line="360" w:lineRule="auto"/>
        <w:ind w:firstLine="400" w:firstLineChars="200"/>
        <w:rPr>
          <w:rFonts w:asciiTheme="minorEastAsia" w:hAnsiTheme="minorEastAsia" w:eastAsiaTheme="minorEastAsia"/>
          <w:b/>
          <w:spacing w:val="-8"/>
          <w:szCs w:val="21"/>
        </w:rPr>
      </w:pPr>
      <w:r>
        <w:rPr>
          <w:rFonts w:hint="eastAsia" w:cs="微软雅黑" w:asciiTheme="minorEastAsia" w:hAnsiTheme="minorEastAsia" w:eastAsiaTheme="minorEastAsia"/>
          <w:spacing w:val="-5"/>
          <w:szCs w:val="21"/>
        </w:rPr>
        <w:t>★</w:t>
      </w:r>
      <w:r>
        <w:rPr>
          <w:rFonts w:asciiTheme="minorEastAsia" w:hAnsiTheme="minorEastAsia" w:eastAsiaTheme="minorEastAsia"/>
          <w:b/>
          <w:spacing w:val="-8"/>
          <w:szCs w:val="21"/>
        </w:rPr>
        <w:t>2.</w:t>
      </w:r>
      <w:r>
        <w:rPr>
          <w:rFonts w:hint="eastAsia" w:asciiTheme="minorEastAsia" w:hAnsiTheme="minorEastAsia" w:eastAsiaTheme="minorEastAsia"/>
          <w:b/>
          <w:spacing w:val="-8"/>
          <w:szCs w:val="21"/>
        </w:rPr>
        <w:t>在遵守相关法律法规、监管规定及本产品销售文件约定，避免不公平交易、利益输送等违法违规行为的前提下，</w:t>
      </w:r>
      <w:r>
        <w:rPr>
          <w:rFonts w:hint="eastAsia" w:asciiTheme="minorEastAsia" w:hAnsiTheme="minorEastAsia" w:eastAsiaTheme="minorEastAsia"/>
          <w:b/>
          <w:bCs/>
          <w:spacing w:val="-8"/>
          <w:szCs w:val="21"/>
        </w:rPr>
        <w:t>投资者知晓并同意本理财产品可能投资于管理人或托管人的主要股东、实际控制人、一致行动人、最终受益人，托管人，同一股东或托管人控股的机构，或者与管理人或托管人有重大利害关系的机构，以及监管机构关于关联交易管理相关规定中涉及的其他关联方发行或承销的证券、发行的资产管理产品，或者从事其他关联交易。</w:t>
      </w:r>
      <w:r>
        <w:rPr>
          <w:rFonts w:hint="eastAsia" w:asciiTheme="minorEastAsia" w:hAnsiTheme="minorEastAsia" w:eastAsiaTheme="minorEastAsia"/>
          <w:b/>
          <w:spacing w:val="-8"/>
          <w:szCs w:val="21"/>
        </w:rPr>
        <w:t>上述关于关联方和关联交易类型的列举仅为向投资者进行说明，并非已包括本产品可能发生的全部关联交易，管理人将向投资者充分披露实际发生的关联交易信息；涉及重大关联交易的，管理人应向监管机构报告。</w:t>
      </w:r>
    </w:p>
    <w:p>
      <w:pPr>
        <w:pStyle w:val="6"/>
        <w:spacing w:line="360" w:lineRule="auto"/>
        <w:ind w:firstLine="400" w:firstLineChars="200"/>
        <w:rPr>
          <w:rFonts w:asciiTheme="minorEastAsia" w:hAnsiTheme="minorEastAsia" w:eastAsiaTheme="minorEastAsia"/>
          <w:b/>
          <w:spacing w:val="-8"/>
          <w:szCs w:val="21"/>
        </w:rPr>
      </w:pPr>
      <w:r>
        <w:rPr>
          <w:rFonts w:hint="eastAsia" w:cs="微软雅黑" w:asciiTheme="minorEastAsia" w:hAnsiTheme="minorEastAsia" w:eastAsiaTheme="minorEastAsia"/>
          <w:spacing w:val="-5"/>
          <w:szCs w:val="21"/>
        </w:rPr>
        <w:t>★</w:t>
      </w:r>
      <w:r>
        <w:rPr>
          <w:rFonts w:hint="eastAsia" w:asciiTheme="minorEastAsia" w:hAnsiTheme="minorEastAsia" w:eastAsiaTheme="minorEastAsia"/>
          <w:b/>
          <w:spacing w:val="-8"/>
          <w:szCs w:val="21"/>
        </w:rPr>
        <w:t>3.本产品的上述投资范围将可能根据相关法律法规、监管规定的变化进行调整，或在本产品存续期间，管理人有权根据市场情况，在根据本说明书约定提前通知投资者的情况下，对本产品的投资范围、投资品种或投资比例进行调整。若构成</w:t>
      </w:r>
      <w:r>
        <w:rPr>
          <w:rFonts w:hint="eastAsia" w:cs="宋体" w:asciiTheme="minorEastAsia" w:hAnsiTheme="minorEastAsia" w:eastAsiaTheme="minorEastAsia"/>
          <w:b/>
          <w:bCs/>
          <w:iCs/>
          <w:color w:val="000000"/>
          <w:szCs w:val="21"/>
        </w:rPr>
        <w:t>对投资者利益产生实质不利影响的，投资者如不同意调整，可在管理人公告的补充或修改后的相关业务调整生效前赎回本理财产品，未赎回的视为同意接受前述调整且继续持有本理财产品。</w:t>
      </w:r>
    </w:p>
    <w:p>
      <w:pPr>
        <w:pStyle w:val="6"/>
        <w:spacing w:line="360" w:lineRule="auto"/>
        <w:ind w:right="325" w:firstLine="439"/>
        <w:rPr>
          <w:rFonts w:asciiTheme="minorEastAsia" w:hAnsiTheme="minorEastAsia" w:eastAsiaTheme="minorEastAsia"/>
          <w:b/>
          <w:szCs w:val="21"/>
        </w:rPr>
      </w:pPr>
      <w:r>
        <w:rPr>
          <w:rFonts w:hint="eastAsia" w:asciiTheme="minorEastAsia" w:hAnsiTheme="minorEastAsia" w:eastAsiaTheme="minorEastAsia"/>
          <w:b/>
          <w:szCs w:val="21"/>
        </w:rPr>
        <w:t>（四）投资资产种类及投资比例</w:t>
      </w:r>
    </w:p>
    <w:p>
      <w:pPr>
        <w:pStyle w:val="6"/>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本产品</w:t>
      </w:r>
      <w:r>
        <w:rPr>
          <w:rFonts w:asciiTheme="minorEastAsia" w:hAnsiTheme="minorEastAsia" w:eastAsiaTheme="minorEastAsia"/>
          <w:szCs w:val="21"/>
        </w:rPr>
        <w:t>各投资</w:t>
      </w:r>
      <w:r>
        <w:rPr>
          <w:rFonts w:hint="eastAsia" w:asciiTheme="minorEastAsia" w:hAnsiTheme="minorEastAsia" w:eastAsiaTheme="minorEastAsia"/>
          <w:szCs w:val="21"/>
        </w:rPr>
        <w:t>资产种类的投资比例</w:t>
      </w:r>
      <w:r>
        <w:rPr>
          <w:rFonts w:asciiTheme="minorEastAsia" w:hAnsiTheme="minorEastAsia" w:eastAsiaTheme="minorEastAsia"/>
          <w:szCs w:val="21"/>
        </w:rPr>
        <w:t>如下：</w:t>
      </w:r>
    </w:p>
    <w:tbl>
      <w:tblPr>
        <w:tblStyle w:val="37"/>
        <w:tblW w:w="83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6"/>
        <w:gridCol w:w="38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4536" w:type="dxa"/>
            <w:vAlign w:val="center"/>
          </w:tcPr>
          <w:p>
            <w:pPr>
              <w:pStyle w:val="36"/>
              <w:spacing w:line="360" w:lineRule="auto"/>
              <w:ind w:left="420" w:right="2363"/>
              <w:jc w:val="center"/>
              <w:rPr>
                <w:rFonts w:asciiTheme="minorEastAsia" w:hAnsiTheme="minorEastAsia" w:eastAsiaTheme="minorEastAsia"/>
                <w:b/>
                <w:sz w:val="21"/>
                <w:szCs w:val="21"/>
                <w:lang w:eastAsia="en-US"/>
              </w:rPr>
            </w:pPr>
            <w:r>
              <w:rPr>
                <w:rFonts w:asciiTheme="minorEastAsia" w:hAnsiTheme="minorEastAsia" w:eastAsiaTheme="minorEastAsia"/>
                <w:b/>
                <w:sz w:val="21"/>
                <w:szCs w:val="21"/>
                <w:lang w:eastAsia="en-US"/>
              </w:rPr>
              <w:t>投资</w:t>
            </w:r>
            <w:r>
              <w:rPr>
                <w:rFonts w:hint="eastAsia" w:asciiTheme="minorEastAsia" w:hAnsiTheme="minorEastAsia" w:eastAsiaTheme="minorEastAsia"/>
                <w:b/>
                <w:sz w:val="21"/>
                <w:szCs w:val="21"/>
                <w:lang w:eastAsia="en-US"/>
              </w:rPr>
              <w:t>资产种类</w:t>
            </w:r>
          </w:p>
        </w:tc>
        <w:tc>
          <w:tcPr>
            <w:tcW w:w="3828" w:type="dxa"/>
            <w:vAlign w:val="center"/>
          </w:tcPr>
          <w:p>
            <w:pPr>
              <w:pStyle w:val="36"/>
              <w:spacing w:line="360" w:lineRule="auto"/>
              <w:ind w:right="76"/>
              <w:jc w:val="center"/>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en-US"/>
              </w:rPr>
              <w:t>投资比例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4536" w:type="dxa"/>
          </w:tcPr>
          <w:p>
            <w:pPr>
              <w:pStyle w:val="36"/>
              <w:spacing w:line="360" w:lineRule="auto"/>
              <w:ind w:left="420"/>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en-US"/>
              </w:rPr>
              <w:t>固定收益类资产</w:t>
            </w:r>
          </w:p>
        </w:tc>
        <w:tc>
          <w:tcPr>
            <w:tcW w:w="3828" w:type="dxa"/>
          </w:tcPr>
          <w:p>
            <w:pPr>
              <w:pStyle w:val="36"/>
              <w:spacing w:line="360" w:lineRule="auto"/>
              <w:ind w:left="420" w:right="76"/>
              <w:jc w:val="cente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≥8</w:t>
            </w:r>
            <w:r>
              <w:rPr>
                <w:rFonts w:asciiTheme="minorEastAsia" w:hAnsiTheme="minorEastAsia" w:eastAsiaTheme="minorEastAsia"/>
                <w:sz w:val="21"/>
                <w:szCs w:val="21"/>
                <w:lang w:eastAsia="zh-CN"/>
              </w:rPr>
              <w:t>0%</w:t>
            </w:r>
          </w:p>
        </w:tc>
      </w:tr>
    </w:tbl>
    <w:p>
      <w:pPr>
        <w:widowControl/>
        <w:spacing w:line="360" w:lineRule="auto"/>
        <w:ind w:firstLine="421" w:firstLineChars="200"/>
        <w:rPr>
          <w:rFonts w:asciiTheme="minorEastAsia" w:hAnsiTheme="minorEastAsia" w:eastAsiaTheme="minorEastAsia"/>
          <w:color w:val="000000"/>
        </w:rPr>
      </w:pPr>
      <w:r>
        <w:rPr>
          <w:rFonts w:cs="宋体" w:asciiTheme="minorEastAsia" w:hAnsiTheme="minorEastAsia" w:eastAsiaTheme="minorEastAsia"/>
          <w:b/>
          <w:bCs/>
          <w:iCs/>
          <w:color w:val="000000"/>
          <w:szCs w:val="21"/>
        </w:rPr>
        <w:t>1.</w:t>
      </w:r>
      <w:r>
        <w:rPr>
          <w:rFonts w:hint="eastAsia" w:cs="宋体" w:asciiTheme="minorEastAsia" w:hAnsiTheme="minorEastAsia" w:eastAsiaTheme="minorEastAsia"/>
          <w:b/>
          <w:bCs/>
          <w:iCs/>
          <w:color w:val="000000"/>
          <w:szCs w:val="21"/>
        </w:rPr>
        <w:t>产品管理人应当根据市场情况调整投资范围、投资资产种类或投资比例，并进行相应公告。高风险类型的理财产品超出比例范围投资较低风险资产的，无需投资者书面同意。</w:t>
      </w:r>
    </w:p>
    <w:p>
      <w:pPr>
        <w:widowControl/>
        <w:spacing w:line="360" w:lineRule="auto"/>
        <w:ind w:firstLine="420"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Cs/>
          <w:iCs/>
          <w:color w:val="000000"/>
          <w:szCs w:val="21"/>
        </w:rPr>
        <w:t>2</w:t>
      </w:r>
      <w:r>
        <w:rPr>
          <w:rFonts w:cs="宋体" w:asciiTheme="minorEastAsia" w:hAnsiTheme="minorEastAsia" w:eastAsiaTheme="minorEastAsia"/>
          <w:bCs/>
          <w:iCs/>
          <w:color w:val="000000"/>
          <w:szCs w:val="21"/>
        </w:rPr>
        <w:t>.</w:t>
      </w:r>
      <w:r>
        <w:rPr>
          <w:rFonts w:hint="eastAsia" w:cs="宋体" w:asciiTheme="minorEastAsia" w:hAnsiTheme="minorEastAsia" w:eastAsiaTheme="minorEastAsia"/>
          <w:bCs/>
          <w:iCs/>
          <w:color w:val="000000"/>
          <w:szCs w:val="21"/>
        </w:rPr>
        <w:t>如法律法规、监管规定等</w:t>
      </w:r>
      <w:r>
        <w:rPr>
          <w:rFonts w:cs="宋体" w:asciiTheme="minorEastAsia" w:hAnsiTheme="minorEastAsia" w:eastAsiaTheme="minorEastAsia"/>
          <w:bCs/>
          <w:iCs/>
          <w:color w:val="000000"/>
          <w:szCs w:val="21"/>
        </w:rPr>
        <w:t>对以上投资</w:t>
      </w:r>
      <w:r>
        <w:rPr>
          <w:rFonts w:hint="eastAsia" w:cs="宋体" w:asciiTheme="minorEastAsia" w:hAnsiTheme="minorEastAsia" w:eastAsiaTheme="minorEastAsia"/>
          <w:bCs/>
          <w:iCs/>
          <w:color w:val="000000"/>
          <w:szCs w:val="21"/>
        </w:rPr>
        <w:t>资产种类</w:t>
      </w:r>
      <w:r>
        <w:rPr>
          <w:rFonts w:cs="宋体" w:asciiTheme="minorEastAsia" w:hAnsiTheme="minorEastAsia" w:eastAsiaTheme="minorEastAsia"/>
          <w:bCs/>
          <w:iCs/>
          <w:color w:val="000000"/>
          <w:szCs w:val="21"/>
        </w:rPr>
        <w:t>和</w:t>
      </w:r>
      <w:r>
        <w:rPr>
          <w:rFonts w:hint="eastAsia" w:cs="宋体" w:asciiTheme="minorEastAsia" w:hAnsiTheme="minorEastAsia" w:eastAsiaTheme="minorEastAsia"/>
          <w:bCs/>
          <w:iCs/>
          <w:color w:val="000000"/>
          <w:szCs w:val="21"/>
        </w:rPr>
        <w:t>投资</w:t>
      </w:r>
      <w:r>
        <w:rPr>
          <w:rFonts w:cs="宋体" w:asciiTheme="minorEastAsia" w:hAnsiTheme="minorEastAsia" w:eastAsiaTheme="minorEastAsia"/>
          <w:bCs/>
          <w:iCs/>
          <w:color w:val="000000"/>
          <w:szCs w:val="21"/>
        </w:rPr>
        <w:t>比例有另行规定的，按照最新规定执行。管理人应当自</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成立日起</w:t>
      </w:r>
      <w:r>
        <w:rPr>
          <w:rFonts w:cs="宋体" w:asciiTheme="minorEastAsia" w:hAnsiTheme="minorEastAsia" w:eastAsiaTheme="minorEastAsia"/>
          <w:b/>
          <w:bCs/>
          <w:iCs/>
          <w:color w:val="000000"/>
          <w:szCs w:val="21"/>
        </w:rPr>
        <w:t>6个月</w:t>
      </w:r>
      <w:r>
        <w:rPr>
          <w:rFonts w:hint="eastAsia" w:cs="宋体" w:asciiTheme="minorEastAsia" w:hAnsiTheme="minorEastAsia" w:eastAsiaTheme="minorEastAsia"/>
          <w:b/>
          <w:bCs/>
          <w:iCs/>
          <w:color w:val="000000"/>
          <w:szCs w:val="21"/>
        </w:rPr>
        <w:t>（建仓期）</w:t>
      </w:r>
      <w:r>
        <w:rPr>
          <w:rFonts w:cs="宋体" w:asciiTheme="minorEastAsia" w:hAnsiTheme="minorEastAsia" w:eastAsiaTheme="minorEastAsia"/>
          <w:bCs/>
          <w:iCs/>
          <w:color w:val="000000"/>
          <w:szCs w:val="21"/>
        </w:rPr>
        <w:t>内使</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的投资组合比例符合约定。非</w:t>
      </w:r>
      <w:r>
        <w:rPr>
          <w:rFonts w:hint="eastAsia" w:cs="宋体" w:asciiTheme="minorEastAsia" w:hAnsiTheme="minorEastAsia" w:eastAsiaTheme="minorEastAsia"/>
          <w:bCs/>
          <w:iCs/>
          <w:color w:val="000000"/>
          <w:szCs w:val="21"/>
        </w:rPr>
        <w:t>因</w:t>
      </w:r>
      <w:r>
        <w:rPr>
          <w:rFonts w:cs="宋体" w:asciiTheme="minorEastAsia" w:hAnsiTheme="minorEastAsia" w:eastAsiaTheme="minorEastAsia"/>
          <w:bCs/>
          <w:iCs/>
          <w:color w:val="000000"/>
          <w:szCs w:val="21"/>
        </w:rPr>
        <w:t>管理人</w:t>
      </w:r>
      <w:r>
        <w:rPr>
          <w:rFonts w:asciiTheme="minorEastAsia" w:hAnsiTheme="minorEastAsia" w:eastAsiaTheme="minorEastAsia"/>
          <w:spacing w:val="-3"/>
          <w:szCs w:val="21"/>
        </w:rPr>
        <w:t>主观</w:t>
      </w:r>
      <w:r>
        <w:rPr>
          <w:rFonts w:cs="宋体" w:asciiTheme="minorEastAsia" w:hAnsiTheme="minorEastAsia" w:eastAsiaTheme="minorEastAsia"/>
          <w:bCs/>
          <w:iCs/>
          <w:color w:val="000000"/>
          <w:szCs w:val="21"/>
        </w:rPr>
        <w:t>因素导致突破前述比例限制的，管理人将尽力在流动性受限资产可出售、可转让或者恢复交易的1</w:t>
      </w:r>
      <w:r>
        <w:rPr>
          <w:rFonts w:hint="eastAsia" w:cs="宋体" w:asciiTheme="minorEastAsia" w:hAnsiTheme="minorEastAsia" w:eastAsiaTheme="minorEastAsia"/>
          <w:bCs/>
          <w:iCs/>
          <w:color w:val="000000"/>
          <w:szCs w:val="21"/>
        </w:rPr>
        <w:t>5</w:t>
      </w:r>
      <w:r>
        <w:rPr>
          <w:rFonts w:cs="宋体" w:asciiTheme="minorEastAsia" w:hAnsiTheme="minorEastAsia" w:eastAsiaTheme="minorEastAsia"/>
          <w:bCs/>
          <w:iCs/>
          <w:color w:val="000000"/>
          <w:szCs w:val="21"/>
        </w:rPr>
        <w:t>个交易日内调整至符合相关要求。</w:t>
      </w:r>
    </w:p>
    <w:p>
      <w:pPr>
        <w:widowControl/>
        <w:spacing w:line="360" w:lineRule="auto"/>
        <w:ind w:firstLine="421" w:firstLineChars="200"/>
        <w:rPr>
          <w:rFonts w:cs="宋体" w:asciiTheme="minorEastAsia" w:hAnsiTheme="minorEastAsia" w:eastAsiaTheme="minorEastAsia"/>
          <w:b/>
          <w:bCs/>
          <w:color w:val="000000" w:themeColor="text1"/>
          <w:szCs w:val="21"/>
          <w14:textFill>
            <w14:solidFill>
              <w14:schemeClr w14:val="tx1"/>
            </w14:solidFill>
          </w14:textFill>
        </w:rPr>
      </w:pPr>
      <w:r>
        <w:rPr>
          <w:rFonts w:hint="eastAsia" w:cs="宋体" w:asciiTheme="minorEastAsia" w:hAnsiTheme="minorEastAsia" w:eastAsiaTheme="minorEastAsia"/>
          <w:b/>
          <w:bCs/>
          <w:color w:val="000000" w:themeColor="text1"/>
          <w:szCs w:val="21"/>
          <w14:textFill>
            <w14:solidFill>
              <w14:schemeClr w14:val="tx1"/>
            </w14:solidFill>
          </w14:textFill>
        </w:rPr>
        <w:t>（五）投资限制</w:t>
      </w:r>
    </w:p>
    <w:p>
      <w:pPr>
        <w:widowControl/>
        <w:spacing w:line="360" w:lineRule="auto"/>
        <w:ind w:firstLine="409" w:firstLineChars="200"/>
        <w:rPr>
          <w:rFonts w:asciiTheme="minorEastAsia" w:hAnsiTheme="minorEastAsia" w:eastAsiaTheme="minorEastAsia"/>
          <w:b/>
          <w:spacing w:val="-3"/>
          <w:szCs w:val="21"/>
        </w:rPr>
      </w:pPr>
      <w:r>
        <w:rPr>
          <w:rFonts w:asciiTheme="minorEastAsia" w:hAnsiTheme="minorEastAsia" w:eastAsiaTheme="minorEastAsia"/>
          <w:b/>
          <w:spacing w:val="-3"/>
        </w:rPr>
        <w:t>1.</w:t>
      </w:r>
      <w:r>
        <w:rPr>
          <w:rFonts w:hint="eastAsia" w:asciiTheme="minorEastAsia" w:hAnsiTheme="minorEastAsia" w:eastAsiaTheme="minorEastAsia"/>
          <w:b/>
          <w:spacing w:val="-3"/>
          <w:szCs w:val="21"/>
        </w:rPr>
        <w:t>集中度限制</w:t>
      </w:r>
    </w:p>
    <w:p>
      <w:pPr>
        <w:widowControl/>
        <w:spacing w:line="360" w:lineRule="auto"/>
        <w:ind w:firstLine="408" w:firstLineChars="200"/>
        <w:rPr>
          <w:rFonts w:asciiTheme="minorEastAsia" w:hAnsiTheme="minorEastAsia" w:eastAsiaTheme="minorEastAsia"/>
          <w:b/>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1）</w:t>
      </w:r>
      <w:r>
        <w:rPr>
          <w:rFonts w:hint="eastAsia" w:asciiTheme="minorEastAsia" w:hAnsiTheme="minorEastAsia" w:eastAsiaTheme="minorEastAsia"/>
          <w:spacing w:val="-3"/>
          <w:szCs w:val="21"/>
        </w:rPr>
        <w:t>本产品投资于同一机构发行的债券及其作为原始权益人的资产支持证券的比例合计不得</w:t>
      </w:r>
      <w:r>
        <w:rPr>
          <w:rFonts w:hint="eastAsia" w:asciiTheme="minorEastAsia" w:hAnsiTheme="minorEastAsia" w:eastAsiaTheme="minorEastAsia"/>
          <w:spacing w:val="-3"/>
        </w:rPr>
        <w:t>超过</w:t>
      </w:r>
      <w:r>
        <w:rPr>
          <w:rFonts w:hint="eastAsia" w:asciiTheme="minorEastAsia" w:hAnsiTheme="minorEastAsia" w:eastAsiaTheme="minorEastAsia"/>
          <w:spacing w:val="-3"/>
          <w:szCs w:val="21"/>
        </w:rPr>
        <w:t>产品资产净值的</w:t>
      </w:r>
      <w:r>
        <w:rPr>
          <w:rFonts w:asciiTheme="minorEastAsia" w:hAnsiTheme="minorEastAsia" w:eastAsiaTheme="minorEastAsia"/>
          <w:spacing w:val="-3"/>
          <w:szCs w:val="21"/>
        </w:rPr>
        <w:t>10%，投资于国债、中央银行票据、政策性金融债券的除外</w:t>
      </w:r>
      <w:r>
        <w:rPr>
          <w:rFonts w:asciiTheme="minorEastAsia" w:hAnsiTheme="minorEastAsia" w:eastAsiaTheme="minorEastAsia"/>
          <w:spacing w:val="-3"/>
        </w:rPr>
        <w:t>。</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2）</w:t>
      </w:r>
      <w:r>
        <w:rPr>
          <w:rFonts w:hint="eastAsia" w:asciiTheme="minorEastAsia" w:hAnsiTheme="minorEastAsia" w:eastAsiaTheme="minorEastAsia"/>
          <w:spacing w:val="-3"/>
          <w:szCs w:val="21"/>
        </w:rPr>
        <w:t>本产品投资于所有主体信用评级低于</w:t>
      </w:r>
      <w:r>
        <w:rPr>
          <w:rFonts w:asciiTheme="minorEastAsia" w:hAnsiTheme="minorEastAsia" w:eastAsiaTheme="minorEastAsia"/>
          <w:spacing w:val="-3"/>
          <w:szCs w:val="21"/>
        </w:rPr>
        <w:t>AAA的机构发行的金融工具的比例合计不得超过产品资产净值的10%，其中单一机构发行的金融工具的比例合计不得超过产品资产净值的2%；本款所称金融工具包括债券、银行存款、同业存单、相关机构作为原始权益人的资产支持证券及</w:t>
      </w:r>
      <w:r>
        <w:rPr>
          <w:rFonts w:hint="eastAsia" w:asciiTheme="minorEastAsia" w:hAnsiTheme="minorEastAsia" w:eastAsiaTheme="minorEastAsia"/>
          <w:color w:val="000000" w:themeColor="text1"/>
          <w:szCs w:val="21"/>
          <w14:textFill>
            <w14:solidFill>
              <w14:schemeClr w14:val="tx1"/>
            </w14:solidFill>
          </w14:textFill>
        </w:rPr>
        <w:t>国务院银行业监督管理机构</w:t>
      </w:r>
      <w:r>
        <w:rPr>
          <w:rFonts w:hint="eastAsia" w:asciiTheme="minorEastAsia" w:hAnsiTheme="minorEastAsia" w:eastAsiaTheme="minorEastAsia"/>
          <w:spacing w:val="-3"/>
          <w:szCs w:val="21"/>
        </w:rPr>
        <w:t>认可的其他金融工具。</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rPr>
        <w:t>3</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本产品投资于有固定期限银行存款的比例合计不得超过产品资产净值的</w:t>
      </w:r>
      <w:r>
        <w:rPr>
          <w:rFonts w:asciiTheme="minorEastAsia" w:hAnsiTheme="minorEastAsia" w:eastAsiaTheme="minorEastAsia"/>
          <w:spacing w:val="-3"/>
          <w:szCs w:val="21"/>
        </w:rPr>
        <w:t>30%，投资于有存款期限，根据协议可提前支取的银行存款除外；本产品投资于主体信用评级为AAA的同一商业银行的银行存款、同业存单占产品资产净值的比例合计不得超过20%。</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4</w:t>
      </w:r>
      <w:r>
        <w:rPr>
          <w:rFonts w:hint="eastAsia" w:asciiTheme="minorEastAsia" w:hAnsiTheme="minorEastAsia" w:eastAsiaTheme="minorEastAsia"/>
          <w:spacing w:val="-3"/>
          <w:szCs w:val="21"/>
        </w:rPr>
        <w:t>）本理财产品投资于单只证券的市值不超过本产品净资产的</w:t>
      </w:r>
      <w:r>
        <w:rPr>
          <w:rFonts w:asciiTheme="minorEastAsia" w:hAnsiTheme="minorEastAsia" w:eastAsiaTheme="minorEastAsia"/>
          <w:spacing w:val="-3"/>
          <w:szCs w:val="21"/>
        </w:rPr>
        <w:t>10%。投资于国债、地方政府债、央票、政府机构债、政策性银行债的除外。</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非因管理人主观因素导致突破前款（</w:t>
      </w:r>
      <w:r>
        <w:rPr>
          <w:rFonts w:asciiTheme="minorEastAsia" w:hAnsiTheme="minorEastAsia" w:eastAsiaTheme="minorEastAsia"/>
          <w:spacing w:val="-3"/>
          <w:szCs w:val="21"/>
        </w:rPr>
        <w:t>1）-（3）</w:t>
      </w:r>
      <w:r>
        <w:rPr>
          <w:rFonts w:hint="eastAsia" w:asciiTheme="minorEastAsia" w:hAnsiTheme="minorEastAsia" w:eastAsiaTheme="minorEastAsia"/>
          <w:spacing w:val="-3"/>
          <w:szCs w:val="21"/>
        </w:rPr>
        <w:t>项比例限制的，管理人应当在</w:t>
      </w:r>
      <w:r>
        <w:rPr>
          <w:rFonts w:asciiTheme="minorEastAsia" w:hAnsiTheme="minorEastAsia" w:eastAsiaTheme="minorEastAsia"/>
          <w:spacing w:val="-3"/>
          <w:szCs w:val="21"/>
        </w:rPr>
        <w:t>10个交易日内调整至符合要求，</w:t>
      </w:r>
      <w:r>
        <w:rPr>
          <w:rFonts w:hint="eastAsia" w:asciiTheme="minorEastAsia" w:hAnsiTheme="minorEastAsia" w:eastAsiaTheme="minorEastAsia"/>
          <w:color w:val="000000" w:themeColor="text1"/>
          <w:szCs w:val="21"/>
          <w14:textFill>
            <w14:solidFill>
              <w14:schemeClr w14:val="tx1"/>
            </w14:solidFill>
          </w14:textFill>
        </w:rPr>
        <w:t>国务院银行业监督管理机构</w:t>
      </w:r>
      <w:r>
        <w:rPr>
          <w:rFonts w:hint="eastAsia" w:asciiTheme="minorEastAsia" w:hAnsiTheme="minorEastAsia" w:eastAsiaTheme="minorEastAsia"/>
          <w:spacing w:val="-3"/>
          <w:szCs w:val="21"/>
        </w:rPr>
        <w:t>规定的特殊情形除外；非因管理人主观因素致使不符合上述第（</w:t>
      </w:r>
      <w:r>
        <w:rPr>
          <w:rFonts w:asciiTheme="minorEastAsia" w:hAnsiTheme="minorEastAsia" w:eastAsiaTheme="minorEastAsia"/>
          <w:spacing w:val="-3"/>
          <w:szCs w:val="21"/>
        </w:rPr>
        <w:t>4</w:t>
      </w:r>
      <w:r>
        <w:rPr>
          <w:rFonts w:hint="eastAsia" w:asciiTheme="minorEastAsia" w:hAnsiTheme="minorEastAsia" w:eastAsiaTheme="minorEastAsia"/>
          <w:spacing w:val="-3"/>
          <w:szCs w:val="21"/>
        </w:rPr>
        <w:t>）项比例限制的，管理人将在流动性受限资产可出售、可转让或者恢复交易的</w:t>
      </w:r>
      <w:r>
        <w:rPr>
          <w:rFonts w:asciiTheme="minorEastAsia" w:hAnsiTheme="minorEastAsia" w:eastAsiaTheme="minorEastAsia"/>
          <w:spacing w:val="-3"/>
          <w:szCs w:val="21"/>
        </w:rPr>
        <w:t>10个交易日内调整至符合相关要求。</w:t>
      </w:r>
    </w:p>
    <w:p>
      <w:pPr>
        <w:widowControl/>
        <w:spacing w:line="360" w:lineRule="auto"/>
        <w:ind w:firstLine="408" w:firstLineChars="200"/>
        <w:rPr>
          <w:rFonts w:asciiTheme="minorEastAsia" w:hAnsiTheme="minorEastAsia" w:eastAsiaTheme="minorEastAsia"/>
          <w:spacing w:val="-3"/>
        </w:rPr>
      </w:pPr>
      <w:r>
        <w:rPr>
          <w:rFonts w:hint="eastAsia" w:asciiTheme="minorEastAsia" w:hAnsiTheme="minorEastAsia" w:eastAsiaTheme="minorEastAsia"/>
          <w:spacing w:val="-3"/>
          <w:szCs w:val="21"/>
        </w:rPr>
        <w:t>本理财产品拟投资于主体信用评级低于</w:t>
      </w:r>
      <w:r>
        <w:rPr>
          <w:rFonts w:asciiTheme="minorEastAsia" w:hAnsiTheme="minorEastAsia" w:eastAsiaTheme="minorEastAsia"/>
          <w:spacing w:val="-3"/>
          <w:szCs w:val="21"/>
        </w:rPr>
        <w:t>AA＋的商业银行的银行存款与同业存单的，应当经管理人董事会审议批准，相关交易应当事先告知托管人，并作为重大事项履行信息披露程序</w:t>
      </w:r>
      <w:r>
        <w:rPr>
          <w:rFonts w:asciiTheme="minorEastAsia" w:hAnsiTheme="minorEastAsia" w:eastAsiaTheme="minorEastAsia"/>
          <w:spacing w:val="-3"/>
        </w:rPr>
        <w:t>。</w:t>
      </w:r>
    </w:p>
    <w:p>
      <w:pPr>
        <w:widowControl/>
        <w:spacing w:line="360" w:lineRule="auto"/>
        <w:ind w:firstLine="409" w:firstLineChars="200"/>
        <w:rPr>
          <w:rFonts w:asciiTheme="minorEastAsia" w:hAnsiTheme="minorEastAsia" w:eastAsiaTheme="minorEastAsia"/>
          <w:b/>
          <w:spacing w:val="-3"/>
          <w:szCs w:val="21"/>
        </w:rPr>
      </w:pPr>
      <w:r>
        <w:rPr>
          <w:rFonts w:asciiTheme="minorEastAsia" w:hAnsiTheme="minorEastAsia" w:eastAsiaTheme="minorEastAsia"/>
          <w:b/>
          <w:spacing w:val="-3"/>
          <w:szCs w:val="21"/>
        </w:rPr>
        <w:t>2.</w:t>
      </w:r>
      <w:r>
        <w:rPr>
          <w:rFonts w:hint="eastAsia" w:asciiTheme="minorEastAsia" w:hAnsiTheme="minorEastAsia" w:eastAsiaTheme="minorEastAsia"/>
          <w:b/>
          <w:spacing w:val="-3"/>
          <w:szCs w:val="21"/>
        </w:rPr>
        <w:t>流动性和杠杆管控要求</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1）</w:t>
      </w:r>
      <w:r>
        <w:rPr>
          <w:rFonts w:hint="eastAsia" w:asciiTheme="minorEastAsia" w:hAnsiTheme="minorEastAsia" w:eastAsiaTheme="minorEastAsia"/>
          <w:spacing w:val="-3"/>
          <w:szCs w:val="21"/>
        </w:rPr>
        <w:t>本产品持有不低于产品资产净值</w:t>
      </w:r>
      <w:r>
        <w:rPr>
          <w:rFonts w:asciiTheme="minorEastAsia" w:hAnsiTheme="minorEastAsia" w:eastAsiaTheme="minorEastAsia"/>
          <w:spacing w:val="-3"/>
          <w:szCs w:val="21"/>
        </w:rPr>
        <w:t>5%的现金、国债、中央银行票据、政策性金融债券；</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2）</w:t>
      </w:r>
      <w:r>
        <w:rPr>
          <w:rFonts w:hint="eastAsia" w:asciiTheme="minorEastAsia" w:hAnsiTheme="minorEastAsia" w:eastAsiaTheme="minorEastAsia"/>
          <w:spacing w:val="-3"/>
          <w:szCs w:val="21"/>
        </w:rPr>
        <w:t>本产品持有不低于产品资产净值</w:t>
      </w:r>
      <w:r>
        <w:rPr>
          <w:rFonts w:asciiTheme="minorEastAsia" w:hAnsiTheme="minorEastAsia" w:eastAsiaTheme="minorEastAsia"/>
          <w:spacing w:val="-3"/>
          <w:szCs w:val="21"/>
        </w:rPr>
        <w:t>10%的现金、国债、中央银行票据、政策性金融债券以及五个交易日内到期的其他金融工具；</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3）</w:t>
      </w:r>
      <w:r>
        <w:rPr>
          <w:rFonts w:hint="eastAsia" w:asciiTheme="minorEastAsia" w:hAnsiTheme="minorEastAsia" w:eastAsiaTheme="minorEastAsia"/>
          <w:spacing w:val="-3"/>
          <w:szCs w:val="21"/>
        </w:rPr>
        <w:t>本产品投资到期日在</w:t>
      </w:r>
      <w:r>
        <w:rPr>
          <w:rFonts w:asciiTheme="minorEastAsia" w:hAnsiTheme="minorEastAsia" w:eastAsiaTheme="minorEastAsia"/>
          <w:spacing w:val="-3"/>
          <w:szCs w:val="21"/>
        </w:rPr>
        <w:t>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4）</w:t>
      </w:r>
      <w:r>
        <w:rPr>
          <w:rFonts w:hint="eastAsia" w:asciiTheme="minorEastAsia" w:hAnsiTheme="minorEastAsia" w:eastAsiaTheme="minorEastAsia"/>
          <w:spacing w:val="-3"/>
          <w:szCs w:val="21"/>
        </w:rPr>
        <w:t>本产品的杠杆水平不得超过</w:t>
      </w:r>
      <w:r>
        <w:rPr>
          <w:rFonts w:asciiTheme="minorEastAsia" w:hAnsiTheme="minorEastAsia" w:eastAsiaTheme="minorEastAsia"/>
          <w:spacing w:val="-3"/>
          <w:szCs w:val="21"/>
        </w:rPr>
        <w:t>120%，发生巨额赎回、连续3个交易日累计赎回20%以上或者连续5个交易日累计赎回30%以上的情形除外。</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非因管理人主观因素导致突破前款第（</w:t>
      </w:r>
      <w:r>
        <w:rPr>
          <w:rFonts w:asciiTheme="minorEastAsia" w:hAnsiTheme="minorEastAsia" w:eastAsiaTheme="minorEastAsia"/>
          <w:spacing w:val="-3"/>
          <w:szCs w:val="21"/>
        </w:rPr>
        <w:t>2）（4）</w:t>
      </w:r>
      <w:r>
        <w:rPr>
          <w:rFonts w:hint="eastAsia" w:asciiTheme="minorEastAsia" w:hAnsiTheme="minorEastAsia" w:eastAsiaTheme="minorEastAsia"/>
          <w:spacing w:val="-3"/>
          <w:szCs w:val="21"/>
        </w:rPr>
        <w:t>项比例限制的，管理人应当在</w:t>
      </w:r>
      <w:r>
        <w:rPr>
          <w:rFonts w:asciiTheme="minorEastAsia" w:hAnsiTheme="minorEastAsia" w:eastAsiaTheme="minorEastAsia"/>
          <w:spacing w:val="-3"/>
          <w:szCs w:val="21"/>
        </w:rPr>
        <w:t>10个交易日内调整至符合要求；非</w:t>
      </w:r>
      <w:r>
        <w:rPr>
          <w:rFonts w:hint="eastAsia" w:asciiTheme="minorEastAsia" w:hAnsiTheme="minorEastAsia" w:eastAsiaTheme="minorEastAsia"/>
          <w:spacing w:val="-3"/>
          <w:szCs w:val="21"/>
        </w:rPr>
        <w:t>因管理人主观因素导致突破前款第（</w:t>
      </w:r>
      <w:r>
        <w:rPr>
          <w:rFonts w:asciiTheme="minorEastAsia" w:hAnsiTheme="minorEastAsia" w:eastAsiaTheme="minorEastAsia"/>
          <w:spacing w:val="-3"/>
          <w:szCs w:val="21"/>
        </w:rPr>
        <w:t>3）</w:t>
      </w:r>
      <w:r>
        <w:rPr>
          <w:rFonts w:hint="eastAsia" w:asciiTheme="minorEastAsia" w:hAnsiTheme="minorEastAsia" w:eastAsiaTheme="minorEastAsia"/>
          <w:spacing w:val="-3"/>
          <w:szCs w:val="21"/>
        </w:rPr>
        <w:t>项比例限制的，管理人不得主动新增流动性受限资产的投资。</w:t>
      </w:r>
    </w:p>
    <w:p>
      <w:pPr>
        <w:widowControl/>
        <w:spacing w:line="360" w:lineRule="auto"/>
        <w:ind w:firstLine="409" w:firstLineChars="200"/>
        <w:rPr>
          <w:rFonts w:asciiTheme="minorEastAsia" w:hAnsiTheme="minorEastAsia" w:eastAsiaTheme="minorEastAsia"/>
          <w:b/>
          <w:spacing w:val="-3"/>
          <w:szCs w:val="21"/>
        </w:rPr>
      </w:pPr>
      <w:r>
        <w:rPr>
          <w:rFonts w:asciiTheme="minorEastAsia" w:hAnsiTheme="minorEastAsia" w:eastAsiaTheme="minorEastAsia"/>
          <w:b/>
          <w:spacing w:val="-3"/>
          <w:szCs w:val="21"/>
        </w:rPr>
        <w:t>3.</w:t>
      </w:r>
      <w:r>
        <w:rPr>
          <w:rFonts w:hint="eastAsia" w:asciiTheme="minorEastAsia" w:hAnsiTheme="minorEastAsia" w:eastAsiaTheme="minorEastAsia"/>
          <w:b/>
          <w:spacing w:val="-3"/>
          <w:szCs w:val="21"/>
        </w:rPr>
        <w:t>投资组合久期管理</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本产品投资组合的平均剩余期限不超过</w:t>
      </w:r>
      <w:r>
        <w:rPr>
          <w:rFonts w:asciiTheme="minorEastAsia" w:hAnsiTheme="minorEastAsia" w:eastAsiaTheme="minorEastAsia"/>
          <w:spacing w:val="-3"/>
          <w:szCs w:val="21"/>
        </w:rPr>
        <w:t>120天，平均剩余存续期限不超过240天。</w:t>
      </w:r>
    </w:p>
    <w:p>
      <w:pPr>
        <w:widowControl/>
        <w:spacing w:line="360" w:lineRule="auto"/>
        <w:ind w:firstLine="409" w:firstLineChars="200"/>
        <w:rPr>
          <w:rFonts w:asciiTheme="minorEastAsia" w:hAnsiTheme="minorEastAsia" w:eastAsiaTheme="minorEastAsia"/>
          <w:b/>
          <w:spacing w:val="-3"/>
          <w:szCs w:val="21"/>
        </w:rPr>
      </w:pPr>
      <w:r>
        <w:rPr>
          <w:rFonts w:asciiTheme="minorEastAsia" w:hAnsiTheme="minorEastAsia" w:eastAsiaTheme="minorEastAsia"/>
          <w:b/>
          <w:spacing w:val="-3"/>
          <w:szCs w:val="21"/>
        </w:rPr>
        <w:t>4.</w:t>
      </w:r>
      <w:r>
        <w:rPr>
          <w:rFonts w:hint="eastAsia" w:asciiTheme="minorEastAsia" w:hAnsiTheme="minorEastAsia" w:eastAsiaTheme="minorEastAsia"/>
          <w:b/>
          <w:spacing w:val="-3"/>
          <w:szCs w:val="21"/>
        </w:rPr>
        <w:t>投资者集中度限制</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1）</w:t>
      </w:r>
      <w:r>
        <w:rPr>
          <w:rFonts w:hint="eastAsia" w:asciiTheme="minorEastAsia" w:hAnsiTheme="minorEastAsia" w:eastAsiaTheme="minorEastAsia"/>
          <w:spacing w:val="-3"/>
          <w:szCs w:val="21"/>
        </w:rPr>
        <w:t>当本产品前</w:t>
      </w:r>
      <w:r>
        <w:rPr>
          <w:rFonts w:asciiTheme="minorEastAsia" w:hAnsiTheme="minorEastAsia" w:eastAsiaTheme="minorEastAsia"/>
          <w:spacing w:val="-3"/>
          <w:szCs w:val="21"/>
        </w:rPr>
        <w:t>10名投资者的持有份额合计超过产品总份额的50%时，投资组合的平均剩余期限不得超过60天，平均剩余存续期限不得超过120天，投资组合中现金、国债、中央银行票据、政策性金融债券以及5个交易日内到期的其他金融工具占该产品资产净值的比例合计不得低于30%。</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2）</w:t>
      </w:r>
      <w:r>
        <w:rPr>
          <w:rFonts w:hint="eastAsia" w:asciiTheme="minorEastAsia" w:hAnsiTheme="minorEastAsia" w:eastAsiaTheme="minorEastAsia"/>
          <w:spacing w:val="-3"/>
          <w:szCs w:val="21"/>
        </w:rPr>
        <w:t>当本产品前</w:t>
      </w:r>
      <w:r>
        <w:rPr>
          <w:rFonts w:asciiTheme="minorEastAsia" w:hAnsiTheme="minorEastAsia" w:eastAsiaTheme="minorEastAsia"/>
          <w:spacing w:val="-3"/>
          <w:szCs w:val="21"/>
        </w:rPr>
        <w:t>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非因管理人主观因素导致突破前款第（</w:t>
      </w:r>
      <w:r>
        <w:rPr>
          <w:rFonts w:asciiTheme="minorEastAsia" w:hAnsiTheme="minorEastAsia" w:eastAsiaTheme="minorEastAsia"/>
          <w:spacing w:val="-3"/>
          <w:szCs w:val="21"/>
        </w:rPr>
        <w:t>1）（2）</w:t>
      </w:r>
      <w:r>
        <w:rPr>
          <w:rFonts w:hint="eastAsia" w:asciiTheme="minorEastAsia" w:hAnsiTheme="minorEastAsia" w:eastAsiaTheme="minorEastAsia"/>
          <w:spacing w:val="-3"/>
          <w:szCs w:val="21"/>
        </w:rPr>
        <w:t>项比例限制的，管理人应当在</w:t>
      </w:r>
      <w:r>
        <w:rPr>
          <w:rFonts w:asciiTheme="minorEastAsia" w:hAnsiTheme="minorEastAsia" w:eastAsiaTheme="minorEastAsia"/>
          <w:spacing w:val="-3"/>
          <w:szCs w:val="21"/>
        </w:rPr>
        <w:t>10个交易日内调整至符合要求，</w:t>
      </w:r>
      <w:r>
        <w:rPr>
          <w:rFonts w:hint="eastAsia" w:asciiTheme="minorEastAsia" w:hAnsiTheme="minorEastAsia" w:eastAsiaTheme="minorEastAsia"/>
          <w:color w:val="000000" w:themeColor="text1"/>
          <w:szCs w:val="21"/>
          <w14:textFill>
            <w14:solidFill>
              <w14:schemeClr w14:val="tx1"/>
            </w14:solidFill>
          </w14:textFill>
        </w:rPr>
        <w:t>国务院银行业监督管理机构</w:t>
      </w:r>
      <w:r>
        <w:rPr>
          <w:rFonts w:hint="eastAsia" w:asciiTheme="minorEastAsia" w:hAnsiTheme="minorEastAsia" w:eastAsiaTheme="minorEastAsia"/>
          <w:spacing w:val="-3"/>
          <w:szCs w:val="21"/>
        </w:rPr>
        <w:t>规定的特殊情形除外。</w:t>
      </w:r>
    </w:p>
    <w:p>
      <w:pPr>
        <w:widowControl/>
        <w:spacing w:line="360" w:lineRule="auto"/>
        <w:ind w:firstLine="408" w:firstLineChars="200"/>
        <w:rPr>
          <w:rFonts w:asciiTheme="minorEastAsia" w:hAnsiTheme="minorEastAsia" w:eastAsiaTheme="minorEastAsia"/>
          <w:spacing w:val="-3"/>
        </w:rPr>
      </w:pPr>
      <w:r>
        <w:rPr>
          <w:rFonts w:asciiTheme="minorEastAsia" w:hAnsiTheme="minorEastAsia" w:eastAsiaTheme="minorEastAsia"/>
          <w:spacing w:val="-3"/>
          <w:szCs w:val="21"/>
        </w:rPr>
        <w:t>5</w:t>
      </w:r>
      <w:r>
        <w:rPr>
          <w:rFonts w:asciiTheme="minorEastAsia" w:hAnsiTheme="minorEastAsia" w:eastAsiaTheme="minorEastAsia"/>
          <w:spacing w:val="-3"/>
        </w:rPr>
        <w:t>.</w:t>
      </w:r>
      <w:r>
        <w:rPr>
          <w:rFonts w:hint="eastAsia" w:asciiTheme="minorEastAsia" w:hAnsiTheme="minorEastAsia" w:eastAsiaTheme="minorEastAsia"/>
          <w:b/>
          <w:spacing w:val="-3"/>
        </w:rPr>
        <w:t>本理财产品投资不存在活跃交易市场并且需要采用估值技术确定公允价值的资产比例</w:t>
      </w:r>
      <w:r>
        <w:rPr>
          <w:rFonts w:hint="eastAsia" w:asciiTheme="minorEastAsia" w:hAnsiTheme="minorEastAsia" w:eastAsiaTheme="minorEastAsia"/>
          <w:b/>
          <w:spacing w:val="-3"/>
          <w:szCs w:val="21"/>
        </w:rPr>
        <w:t>不得</w:t>
      </w:r>
      <w:r>
        <w:rPr>
          <w:rFonts w:hint="eastAsia" w:asciiTheme="minorEastAsia" w:hAnsiTheme="minorEastAsia" w:eastAsiaTheme="minorEastAsia"/>
          <w:b/>
          <w:spacing w:val="-3"/>
        </w:rPr>
        <w:t>达到本产品净资产的</w:t>
      </w:r>
      <w:r>
        <w:rPr>
          <w:rFonts w:asciiTheme="minorEastAsia" w:hAnsiTheme="minorEastAsia" w:eastAsiaTheme="minorEastAsia"/>
          <w:b/>
          <w:spacing w:val="-3"/>
        </w:rPr>
        <w:t>50%</w:t>
      </w:r>
      <w:r>
        <w:rPr>
          <w:rFonts w:hint="eastAsia" w:asciiTheme="minorEastAsia" w:hAnsiTheme="minorEastAsia" w:eastAsiaTheme="minorEastAsia"/>
          <w:b/>
          <w:spacing w:val="-3"/>
        </w:rPr>
        <w:t>以上。</w:t>
      </w:r>
      <w:r>
        <w:rPr>
          <w:rFonts w:hint="eastAsia" w:asciiTheme="minorEastAsia" w:hAnsiTheme="minorEastAsia" w:eastAsiaTheme="minorEastAsia"/>
          <w:b/>
          <w:spacing w:val="-3"/>
          <w:szCs w:val="21"/>
        </w:rPr>
        <w:t>非因管理人主观因素导致突破前款规定比例限制的</w:t>
      </w:r>
      <w:r>
        <w:rPr>
          <w:rFonts w:asciiTheme="minorEastAsia" w:hAnsiTheme="minorEastAsia" w:eastAsiaTheme="minorEastAsia"/>
          <w:b/>
          <w:spacing w:val="-3"/>
          <w:szCs w:val="21"/>
        </w:rPr>
        <w:t>,</w:t>
      </w:r>
      <w:r>
        <w:rPr>
          <w:rFonts w:hint="eastAsia" w:asciiTheme="minorEastAsia" w:hAnsiTheme="minorEastAsia" w:eastAsiaTheme="minorEastAsia"/>
          <w:b/>
          <w:spacing w:val="-3"/>
          <w:szCs w:val="21"/>
        </w:rPr>
        <w:t>本理财产品不得新增投资上述资产。</w:t>
      </w:r>
    </w:p>
    <w:p>
      <w:pPr>
        <w:widowControl/>
        <w:spacing w:line="360" w:lineRule="auto"/>
        <w:ind w:firstLine="408" w:firstLineChars="200"/>
        <w:rPr>
          <w:rFonts w:asciiTheme="minorEastAsia" w:hAnsiTheme="minorEastAsia" w:eastAsiaTheme="minorEastAsia"/>
          <w:spacing w:val="-3"/>
          <w:szCs w:val="21"/>
        </w:rPr>
      </w:pPr>
      <w:r>
        <w:rPr>
          <w:rFonts w:asciiTheme="minorEastAsia" w:hAnsiTheme="minorEastAsia" w:eastAsiaTheme="minorEastAsia"/>
          <w:spacing w:val="-3"/>
          <w:szCs w:val="21"/>
        </w:rPr>
        <w:t>6.</w:t>
      </w:r>
      <w:r>
        <w:rPr>
          <w:rFonts w:hint="eastAsia" w:asciiTheme="minorEastAsia" w:hAnsiTheme="minorEastAsia" w:eastAsiaTheme="minorEastAsia"/>
          <w:spacing w:val="-3"/>
          <w:szCs w:val="21"/>
        </w:rPr>
        <w:t>在开放日前一工作日内，本理财产品7个工作日可变现资产的可变现价值应当不低于本产品资产净值的1</w:t>
      </w:r>
      <w:r>
        <w:rPr>
          <w:rFonts w:asciiTheme="minorEastAsia" w:hAnsiTheme="minorEastAsia" w:eastAsiaTheme="minorEastAsia"/>
          <w:spacing w:val="-3"/>
          <w:szCs w:val="21"/>
        </w:rPr>
        <w:t>0%</w:t>
      </w:r>
      <w:r>
        <w:rPr>
          <w:rFonts w:hint="eastAsia" w:asciiTheme="minorEastAsia" w:hAnsiTheme="minorEastAsia" w:eastAsiaTheme="minorEastAsia"/>
          <w:spacing w:val="-3"/>
          <w:szCs w:val="21"/>
        </w:rPr>
        <w:t>。</w:t>
      </w:r>
    </w:p>
    <w:p>
      <w:pPr>
        <w:widowControl/>
        <w:spacing w:line="360" w:lineRule="auto"/>
        <w:ind w:firstLine="408" w:firstLineChars="200"/>
        <w:rPr>
          <w:rFonts w:asciiTheme="minorEastAsia" w:hAnsiTheme="minorEastAsia" w:eastAsiaTheme="minorEastAsia"/>
          <w:spacing w:val="-3"/>
          <w:szCs w:val="21"/>
        </w:rPr>
      </w:pPr>
      <w:r>
        <w:rPr>
          <w:rFonts w:asciiTheme="minorEastAsia" w:hAnsiTheme="minorEastAsia" w:eastAsiaTheme="minorEastAsia"/>
          <w:spacing w:val="-3"/>
          <w:szCs w:val="21"/>
        </w:rPr>
        <w:t>7</w:t>
      </w:r>
      <w:r>
        <w:rPr>
          <w:rFonts w:asciiTheme="minorEastAsia" w:hAnsiTheme="minorEastAsia" w:eastAsiaTheme="minorEastAsia"/>
          <w:spacing w:val="-3"/>
        </w:rPr>
        <w:t>.</w:t>
      </w:r>
      <w:r>
        <w:rPr>
          <w:rFonts w:asciiTheme="minorEastAsia" w:hAnsiTheme="minorEastAsia" w:eastAsiaTheme="minorEastAsia"/>
          <w:spacing w:val="-3"/>
          <w:szCs w:val="21"/>
        </w:rPr>
        <w:t>如</w:t>
      </w:r>
      <w:r>
        <w:rPr>
          <w:rFonts w:hint="eastAsia" w:cs="宋体" w:asciiTheme="minorEastAsia" w:hAnsiTheme="minorEastAsia" w:eastAsiaTheme="minorEastAsia"/>
          <w:bCs/>
          <w:iCs/>
          <w:color w:val="000000"/>
          <w:szCs w:val="21"/>
        </w:rPr>
        <w:t>法律法规、监管规定等</w:t>
      </w:r>
      <w:r>
        <w:rPr>
          <w:rFonts w:hint="eastAsia" w:asciiTheme="minorEastAsia" w:hAnsiTheme="minorEastAsia" w:eastAsiaTheme="minorEastAsia"/>
          <w:spacing w:val="-3"/>
          <w:szCs w:val="21"/>
        </w:rPr>
        <w:t>对本《产品说明书》约定的投资限制进行变更的，管理人可参照最新要求调整。</w:t>
      </w:r>
    </w:p>
    <w:p>
      <w:pPr>
        <w:widowControl/>
        <w:spacing w:line="360" w:lineRule="auto"/>
        <w:ind w:firstLine="421" w:firstLineChars="200"/>
        <w:rPr>
          <w:rFonts w:cs="宋体" w:asciiTheme="minorEastAsia" w:hAnsiTheme="minorEastAsia" w:eastAsiaTheme="minorEastAsia"/>
          <w:b/>
          <w:bCs/>
          <w:color w:val="000000" w:themeColor="text1"/>
          <w:szCs w:val="21"/>
          <w14:textFill>
            <w14:solidFill>
              <w14:schemeClr w14:val="tx1"/>
            </w14:solidFill>
          </w14:textFill>
        </w:rPr>
      </w:pPr>
      <w:r>
        <w:rPr>
          <w:rFonts w:hint="eastAsia" w:cs="宋体" w:asciiTheme="minorEastAsia" w:hAnsiTheme="minorEastAsia" w:eastAsiaTheme="minorEastAsia"/>
          <w:b/>
          <w:bCs/>
          <w:color w:val="000000" w:themeColor="text1"/>
          <w:szCs w:val="21"/>
          <w14:textFill>
            <w14:solidFill>
              <w14:schemeClr w14:val="tx1"/>
            </w14:solidFill>
          </w14:textFill>
        </w:rPr>
        <w:t>（六）投资禁止</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本理财产品不得投资于以下金融工具：</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1</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股票；</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2</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可转换债券、可交换债券；</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3</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以定期存款利率为基准利率的浮动利率债券，已进入最后一个利率调整期的除外；</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4</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信用等级在</w:t>
      </w:r>
      <w:r>
        <w:rPr>
          <w:rFonts w:asciiTheme="minorEastAsia" w:hAnsiTheme="minorEastAsia" w:eastAsiaTheme="minorEastAsia"/>
          <w:spacing w:val="-3"/>
          <w:szCs w:val="21"/>
        </w:rPr>
        <w:t>AA+以下的债券、资产支持证券；</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5</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国家金融监督管理总局、中国人民银行禁止投资的其他金融工具。</w:t>
      </w:r>
    </w:p>
    <w:p>
      <w:pPr>
        <w:widowControl/>
        <w:spacing w:line="360" w:lineRule="auto"/>
        <w:ind w:firstLine="408" w:firstLineChars="200"/>
        <w:rPr>
          <w:rFonts w:asciiTheme="minorEastAsia" w:hAnsiTheme="minorEastAsia" w:eastAsiaTheme="minorEastAsia"/>
          <w:spacing w:val="-3"/>
          <w:szCs w:val="21"/>
        </w:rPr>
      </w:pPr>
    </w:p>
    <w:p>
      <w:pPr>
        <w:snapToGrid w:val="0"/>
        <w:spacing w:before="240" w:beforeLines="10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四、理财产品当事人</w:t>
      </w:r>
    </w:p>
    <w:p>
      <w:pPr>
        <w:snapToGrid w:val="0"/>
        <w:spacing w:line="360" w:lineRule="auto"/>
        <w:ind w:firstLine="421" w:firstLineChars="200"/>
        <w:jc w:val="left"/>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（一）管理人</w:t>
      </w:r>
    </w:p>
    <w:p>
      <w:pPr>
        <w:snapToGrid w:val="0"/>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1.基本信息</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名称：</w:t>
      </w:r>
      <w:r>
        <w:rPr>
          <w:rFonts w:hint="eastAsia" w:asciiTheme="minorEastAsia" w:hAnsiTheme="minorEastAsia" w:eastAsiaTheme="minorEastAsia"/>
          <w:szCs w:val="21"/>
        </w:rPr>
        <w:t>浦</w:t>
      </w:r>
      <w:r>
        <w:rPr>
          <w:rFonts w:asciiTheme="minorEastAsia" w:hAnsiTheme="minorEastAsia" w:eastAsiaTheme="minorEastAsia"/>
          <w:szCs w:val="21"/>
        </w:rPr>
        <w:t>银理财</w:t>
      </w:r>
      <w:r>
        <w:rPr>
          <w:rFonts w:hint="eastAsia" w:asciiTheme="minorEastAsia" w:hAnsiTheme="minorEastAsia" w:eastAsiaTheme="minorEastAsia"/>
          <w:szCs w:val="21"/>
        </w:rPr>
        <w:t>有限责任公司</w:t>
      </w:r>
    </w:p>
    <w:p>
      <w:pPr>
        <w:spacing w:line="360" w:lineRule="auto"/>
        <w:ind w:firstLine="420" w:firstLineChars="200"/>
        <w:rPr>
          <w:rStyle w:val="22"/>
          <w:rFonts w:asciiTheme="minorEastAsia" w:hAnsiTheme="minorEastAsia" w:eastAsiaTheme="minorEastAsia"/>
          <w:kern w:val="2"/>
        </w:rPr>
      </w:pPr>
      <w:r>
        <w:rPr>
          <w:rFonts w:hint="eastAsia" w:cs="宋体" w:asciiTheme="minorEastAsia" w:hAnsiTheme="minorEastAsia" w:eastAsiaTheme="minorEastAsia"/>
          <w:bCs/>
          <w:iCs/>
          <w:color w:val="000000"/>
          <w:szCs w:val="21"/>
        </w:rPr>
        <w:t>住所：中国（上海）自由贸易试验区银城路8</w:t>
      </w:r>
      <w:r>
        <w:rPr>
          <w:rFonts w:cs="宋体" w:asciiTheme="minorEastAsia" w:hAnsiTheme="minorEastAsia" w:eastAsiaTheme="minorEastAsia"/>
          <w:bCs/>
          <w:iCs/>
          <w:color w:val="000000"/>
          <w:szCs w:val="21"/>
        </w:rPr>
        <w:t>8</w:t>
      </w:r>
      <w:r>
        <w:rPr>
          <w:rFonts w:hint="eastAsia" w:cs="宋体" w:asciiTheme="minorEastAsia" w:hAnsiTheme="minorEastAsia" w:eastAsiaTheme="minorEastAsia"/>
          <w:bCs/>
          <w:iCs/>
          <w:color w:val="000000"/>
          <w:szCs w:val="21"/>
        </w:rPr>
        <w:t>号4</w:t>
      </w: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46</w:t>
      </w:r>
      <w:r>
        <w:rPr>
          <w:rFonts w:hint="eastAsia" w:cs="宋体" w:asciiTheme="minorEastAsia" w:hAnsiTheme="minorEastAsia" w:eastAsiaTheme="minorEastAsia"/>
          <w:bCs/>
          <w:iCs/>
          <w:color w:val="000000"/>
          <w:szCs w:val="21"/>
        </w:rPr>
        <w:t>层</w:t>
      </w:r>
    </w:p>
    <w:p>
      <w:pPr>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2.</w:t>
      </w:r>
      <w:r>
        <w:rPr>
          <w:rFonts w:hint="eastAsia" w:cs="宋体" w:asciiTheme="minorEastAsia" w:hAnsiTheme="minorEastAsia" w:eastAsiaTheme="minorEastAsia"/>
          <w:b/>
          <w:bCs/>
          <w:iCs/>
          <w:color w:val="000000"/>
          <w:szCs w:val="21"/>
        </w:rPr>
        <w:t>权利与义务</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浦</w:t>
      </w:r>
      <w:r>
        <w:rPr>
          <w:rFonts w:asciiTheme="minorEastAsia" w:hAnsiTheme="minorEastAsia" w:eastAsiaTheme="minorEastAsia"/>
          <w:szCs w:val="21"/>
        </w:rPr>
        <w:t>银理财负责本</w:t>
      </w:r>
      <w:r>
        <w:rPr>
          <w:rFonts w:hint="eastAsia" w:asciiTheme="minorEastAsia" w:hAnsiTheme="minorEastAsia" w:eastAsiaTheme="minorEastAsia"/>
          <w:szCs w:val="21"/>
        </w:rPr>
        <w:t>理财产品</w:t>
      </w:r>
      <w:r>
        <w:rPr>
          <w:rFonts w:asciiTheme="minorEastAsia" w:hAnsiTheme="minorEastAsia" w:eastAsiaTheme="minorEastAsia"/>
          <w:szCs w:val="21"/>
        </w:rPr>
        <w:t>的投资运作和产品管理，投资者在此授权并同意</w:t>
      </w:r>
      <w:r>
        <w:rPr>
          <w:rFonts w:hint="eastAsia" w:asciiTheme="minorEastAsia" w:hAnsiTheme="minorEastAsia" w:eastAsiaTheme="minorEastAsia"/>
          <w:szCs w:val="21"/>
        </w:rPr>
        <w:t>管理人</w:t>
      </w:r>
      <w:r>
        <w:rPr>
          <w:rFonts w:asciiTheme="minorEastAsia" w:hAnsiTheme="minorEastAsia" w:eastAsiaTheme="minorEastAsia"/>
          <w:szCs w:val="21"/>
        </w:rPr>
        <w:t>享有以下权利：</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1）按照本</w:t>
      </w:r>
      <w:r>
        <w:rPr>
          <w:rFonts w:hint="eastAsia" w:asciiTheme="minorEastAsia" w:hAnsiTheme="minorEastAsia" w:eastAsiaTheme="minorEastAsia"/>
          <w:szCs w:val="21"/>
        </w:rPr>
        <w:t>理财产品销售</w:t>
      </w:r>
      <w:r>
        <w:rPr>
          <w:rFonts w:asciiTheme="minorEastAsia" w:hAnsiTheme="minorEastAsia" w:eastAsiaTheme="minorEastAsia"/>
          <w:szCs w:val="21"/>
        </w:rPr>
        <w:t>文件的约定，管理、运用和处分</w:t>
      </w:r>
      <w:r>
        <w:rPr>
          <w:rFonts w:hint="eastAsia" w:asciiTheme="minorEastAsia" w:hAnsiTheme="minorEastAsia" w:eastAsiaTheme="minorEastAsia"/>
          <w:szCs w:val="21"/>
        </w:rPr>
        <w:t>理财产品</w:t>
      </w:r>
      <w:r>
        <w:rPr>
          <w:rFonts w:asciiTheme="minorEastAsia" w:hAnsiTheme="minorEastAsia" w:eastAsiaTheme="minorEastAsia"/>
          <w:szCs w:val="21"/>
        </w:rPr>
        <w:t>资金；</w:t>
      </w:r>
      <w:r>
        <w:rPr>
          <w:rFonts w:cs="宋体" w:asciiTheme="minorEastAsia" w:hAnsiTheme="minorEastAsia" w:eastAsiaTheme="minorEastAsia"/>
          <w:bCs/>
          <w:iCs/>
          <w:color w:val="000000"/>
          <w:szCs w:val="21"/>
        </w:rPr>
        <w:t>以</w:t>
      </w:r>
      <w:r>
        <w:rPr>
          <w:rFonts w:hint="eastAsia" w:cs="宋体" w:asciiTheme="minorEastAsia" w:hAnsiTheme="minorEastAsia" w:eastAsiaTheme="minorEastAsia"/>
          <w:bCs/>
          <w:iCs/>
          <w:color w:val="000000"/>
          <w:szCs w:val="21"/>
        </w:rPr>
        <w:t>产品管理人</w:t>
      </w:r>
      <w:r>
        <w:rPr>
          <w:rFonts w:cs="宋体" w:asciiTheme="minorEastAsia" w:hAnsiTheme="minorEastAsia" w:eastAsiaTheme="minorEastAsia"/>
          <w:bCs/>
          <w:iCs/>
          <w:color w:val="000000"/>
          <w:szCs w:val="21"/>
        </w:rPr>
        <w:t>的名义，</w:t>
      </w:r>
      <w:r>
        <w:rPr>
          <w:rFonts w:hint="eastAsia" w:asciiTheme="minorEastAsia" w:hAnsiTheme="minorEastAsia" w:eastAsiaTheme="minorEastAsia"/>
          <w:szCs w:val="21"/>
        </w:rPr>
        <w:t>代表本理财产品签订投资和资产管理过程中涉及到的协议、合同等法律文本；</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w:t>
      </w:r>
      <w:r>
        <w:rPr>
          <w:rFonts w:asciiTheme="minorEastAsia" w:hAnsiTheme="minorEastAsia" w:eastAsiaTheme="minorEastAsia"/>
          <w:szCs w:val="21"/>
        </w:rPr>
        <w:t>按照本</w:t>
      </w:r>
      <w:r>
        <w:rPr>
          <w:rFonts w:hint="eastAsia" w:asciiTheme="minorEastAsia" w:hAnsiTheme="minorEastAsia" w:eastAsiaTheme="minorEastAsia"/>
          <w:szCs w:val="21"/>
        </w:rPr>
        <w:t>理财产品销售</w:t>
      </w:r>
      <w:r>
        <w:rPr>
          <w:rFonts w:asciiTheme="minorEastAsia" w:hAnsiTheme="minorEastAsia" w:eastAsiaTheme="minorEastAsia"/>
          <w:szCs w:val="21"/>
        </w:rPr>
        <w:t>文件的约定，及时、足额获得管理费和本</w:t>
      </w:r>
      <w:r>
        <w:rPr>
          <w:rFonts w:hint="eastAsia" w:asciiTheme="minorEastAsia" w:hAnsiTheme="minorEastAsia" w:eastAsiaTheme="minorEastAsia"/>
          <w:szCs w:val="21"/>
        </w:rPr>
        <w:t>《</w:t>
      </w:r>
      <w:r>
        <w:rPr>
          <w:rFonts w:asciiTheme="minorEastAsia" w:hAnsiTheme="minorEastAsia" w:eastAsiaTheme="minorEastAsia"/>
          <w:szCs w:val="21"/>
        </w:rPr>
        <w:t>产品说明书</w:t>
      </w:r>
      <w:r>
        <w:rPr>
          <w:rFonts w:hint="eastAsia" w:asciiTheme="minorEastAsia" w:hAnsiTheme="minorEastAsia" w:eastAsiaTheme="minorEastAsia"/>
          <w:szCs w:val="21"/>
        </w:rPr>
        <w:t>》</w:t>
      </w:r>
      <w:r>
        <w:rPr>
          <w:rFonts w:asciiTheme="minorEastAsia" w:hAnsiTheme="minorEastAsia" w:eastAsiaTheme="minorEastAsia"/>
          <w:szCs w:val="21"/>
        </w:rPr>
        <w:t>约定的其他费用（如有）；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3）管理人应按照</w:t>
      </w:r>
      <w:r>
        <w:rPr>
          <w:rFonts w:hint="eastAsia" w:cs="宋体" w:asciiTheme="minorEastAsia" w:hAnsiTheme="minorEastAsia" w:eastAsiaTheme="minorEastAsia"/>
          <w:bCs/>
          <w:iCs/>
          <w:color w:val="000000"/>
          <w:szCs w:val="21"/>
        </w:rPr>
        <w:t>法律法规、监管规定</w:t>
      </w:r>
      <w:r>
        <w:rPr>
          <w:rFonts w:hint="eastAsia" w:asciiTheme="minorEastAsia" w:hAnsiTheme="minorEastAsia" w:eastAsiaTheme="minorEastAsia"/>
          <w:szCs w:val="21"/>
        </w:rPr>
        <w:t>及理财产品销售文件约定披露产品相关信息；</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asciiTheme="minorEastAsia" w:hAnsiTheme="minorEastAsia" w:eastAsiaTheme="minorEastAsia"/>
          <w:szCs w:val="21"/>
        </w:rPr>
        <w:t>管理人以其固有财产先行垫付因处理本</w:t>
      </w:r>
      <w:r>
        <w:rPr>
          <w:rFonts w:hint="eastAsia" w:asciiTheme="minorEastAsia" w:hAnsiTheme="minorEastAsia" w:eastAsiaTheme="minorEastAsia"/>
          <w:szCs w:val="21"/>
        </w:rPr>
        <w:t>理财产品</w:t>
      </w:r>
      <w:r>
        <w:rPr>
          <w:rFonts w:asciiTheme="minorEastAsia" w:hAnsiTheme="minorEastAsia" w:eastAsiaTheme="minorEastAsia"/>
          <w:szCs w:val="21"/>
        </w:rPr>
        <w:t>相关事务所支出的</w:t>
      </w:r>
      <w:r>
        <w:rPr>
          <w:rFonts w:hint="eastAsia" w:asciiTheme="minorEastAsia" w:hAnsiTheme="minorEastAsia" w:eastAsiaTheme="minorEastAsia"/>
          <w:szCs w:val="21"/>
        </w:rPr>
        <w:t>理财产品</w:t>
      </w:r>
      <w:r>
        <w:rPr>
          <w:rFonts w:asciiTheme="minorEastAsia" w:hAnsiTheme="minorEastAsia" w:eastAsiaTheme="minorEastAsia"/>
          <w:szCs w:val="21"/>
        </w:rPr>
        <w:t>费用及税费的，对</w:t>
      </w:r>
      <w:r>
        <w:rPr>
          <w:rFonts w:hint="eastAsia" w:asciiTheme="minorEastAsia" w:hAnsiTheme="minorEastAsia" w:eastAsiaTheme="minorEastAsia"/>
          <w:szCs w:val="21"/>
        </w:rPr>
        <w:t>理财产品</w:t>
      </w:r>
      <w:r>
        <w:rPr>
          <w:rFonts w:asciiTheme="minorEastAsia" w:hAnsiTheme="minorEastAsia" w:eastAsiaTheme="minorEastAsia"/>
          <w:szCs w:val="21"/>
        </w:rPr>
        <w:t>资金享有优先受偿的权利；</w:t>
      </w:r>
    </w:p>
    <w:p>
      <w:pPr>
        <w:tabs>
          <w:tab w:val="left" w:pos="344"/>
        </w:tabs>
        <w:autoSpaceDE w:val="0"/>
        <w:autoSpaceDN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5）管理人有权根据本</w:t>
      </w:r>
      <w:r>
        <w:rPr>
          <w:rFonts w:hint="eastAsia" w:asciiTheme="minorEastAsia" w:hAnsiTheme="minorEastAsia" w:eastAsiaTheme="minorEastAsia"/>
          <w:szCs w:val="21"/>
        </w:rPr>
        <w:t>理财产品销售文件</w:t>
      </w:r>
      <w:r>
        <w:rPr>
          <w:rFonts w:asciiTheme="minorEastAsia" w:hAnsiTheme="minorEastAsia" w:eastAsiaTheme="minorEastAsia"/>
          <w:szCs w:val="21"/>
        </w:rPr>
        <w:t>的约定</w:t>
      </w:r>
      <w:r>
        <w:rPr>
          <w:rFonts w:hint="eastAsia" w:asciiTheme="minorEastAsia" w:hAnsiTheme="minorEastAsia" w:eastAsiaTheme="minorEastAsia"/>
          <w:szCs w:val="21"/>
        </w:rPr>
        <w:t>自行决定本理财产品</w:t>
      </w:r>
      <w:r>
        <w:rPr>
          <w:rFonts w:asciiTheme="minorEastAsia" w:hAnsiTheme="minorEastAsia" w:eastAsiaTheme="minorEastAsia"/>
          <w:szCs w:val="21"/>
        </w:rPr>
        <w:t>提前终止；</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6）管理人有权</w:t>
      </w:r>
      <w:r>
        <w:rPr>
          <w:rFonts w:hint="eastAsia" w:asciiTheme="minorEastAsia" w:hAnsiTheme="minorEastAsia" w:eastAsiaTheme="minorEastAsia"/>
          <w:szCs w:val="21"/>
        </w:rPr>
        <w:t>自行决定</w:t>
      </w:r>
      <w:r>
        <w:rPr>
          <w:rFonts w:asciiTheme="minorEastAsia" w:hAnsiTheme="minorEastAsia" w:eastAsiaTheme="minorEastAsia"/>
          <w:szCs w:val="21"/>
        </w:rPr>
        <w:t>调整本</w:t>
      </w:r>
      <w:r>
        <w:rPr>
          <w:rFonts w:hint="eastAsia" w:asciiTheme="minorEastAsia" w:hAnsiTheme="minorEastAsia" w:eastAsiaTheme="minorEastAsia"/>
          <w:szCs w:val="21"/>
        </w:rPr>
        <w:t>理财产品</w:t>
      </w:r>
      <w:r>
        <w:rPr>
          <w:rFonts w:asciiTheme="minorEastAsia" w:hAnsiTheme="minorEastAsia" w:eastAsiaTheme="minorEastAsia"/>
          <w:szCs w:val="21"/>
        </w:rPr>
        <w:t>的</w:t>
      </w:r>
      <w:r>
        <w:rPr>
          <w:rFonts w:hint="eastAsia" w:asciiTheme="minorEastAsia" w:hAnsiTheme="minorEastAsia" w:eastAsiaTheme="minorEastAsia"/>
          <w:szCs w:val="21"/>
        </w:rPr>
        <w:t>单笔</w:t>
      </w:r>
      <w:r>
        <w:rPr>
          <w:rFonts w:asciiTheme="minorEastAsia" w:hAnsiTheme="minorEastAsia" w:eastAsiaTheme="minorEastAsia"/>
          <w:szCs w:val="21"/>
        </w:rPr>
        <w:t>认购/申购上限、认购/申购起点</w:t>
      </w:r>
      <w:r>
        <w:rPr>
          <w:rFonts w:hint="eastAsia" w:asciiTheme="minorEastAsia" w:hAnsiTheme="minorEastAsia" w:eastAsiaTheme="minorEastAsia"/>
          <w:szCs w:val="21"/>
        </w:rPr>
        <w:t>金额与递增金额</w:t>
      </w:r>
      <w:r>
        <w:rPr>
          <w:rFonts w:asciiTheme="minorEastAsia" w:hAnsiTheme="minorEastAsia" w:eastAsiaTheme="minorEastAsia"/>
          <w:szCs w:val="21"/>
        </w:rPr>
        <w:t>、</w:t>
      </w:r>
      <w:r>
        <w:rPr>
          <w:rFonts w:hint="eastAsia" w:asciiTheme="minorEastAsia" w:hAnsiTheme="minorEastAsia" w:eastAsiaTheme="minorEastAsia"/>
          <w:szCs w:val="21"/>
        </w:rPr>
        <w:t>最低赎回份额、最低持有份额、单</w:t>
      </w:r>
      <w:r>
        <w:rPr>
          <w:rFonts w:hint="eastAsia" w:asciiTheme="minorEastAsia" w:hAnsiTheme="minorEastAsia" w:eastAsiaTheme="minorEastAsia"/>
          <w:color w:val="000000" w:themeColor="text1"/>
          <w:szCs w:val="21"/>
          <w14:textFill>
            <w14:solidFill>
              <w14:schemeClr w14:val="tx1"/>
            </w14:solidFill>
          </w14:textFill>
        </w:rPr>
        <w:t>一投资者</w:t>
      </w:r>
      <w:r>
        <w:rPr>
          <w:rFonts w:hint="eastAsia" w:asciiTheme="minorEastAsia" w:hAnsiTheme="minorEastAsia" w:eastAsiaTheme="minorEastAsia"/>
          <w:szCs w:val="21"/>
        </w:rPr>
        <w:t>持有上限、发行规模、单日净申购比例上限、赎回上限、产品份额类型</w:t>
      </w:r>
      <w:r>
        <w:rPr>
          <w:rFonts w:asciiTheme="minorEastAsia" w:hAnsiTheme="minorEastAsia" w:eastAsiaTheme="minorEastAsia"/>
          <w:szCs w:val="21"/>
        </w:rPr>
        <w:t>等要素；</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7）管理人有权按照</w:t>
      </w:r>
      <w:r>
        <w:rPr>
          <w:rFonts w:hint="eastAsia" w:cs="宋体" w:asciiTheme="minorEastAsia" w:hAnsiTheme="minorEastAsia" w:eastAsiaTheme="minorEastAsia"/>
          <w:bCs/>
          <w:iCs/>
          <w:color w:val="000000"/>
          <w:szCs w:val="21"/>
        </w:rPr>
        <w:t>法律法规、监管规定或为理财业务需要</w:t>
      </w:r>
      <w:r>
        <w:rPr>
          <w:rFonts w:asciiTheme="minorEastAsia" w:hAnsiTheme="minorEastAsia" w:eastAsiaTheme="minorEastAsia"/>
          <w:szCs w:val="21"/>
        </w:rPr>
        <w:t>将投资者的信息向有权部门或相关机构</w:t>
      </w:r>
      <w:r>
        <w:rPr>
          <w:rFonts w:hint="eastAsia" w:asciiTheme="minorEastAsia" w:hAnsiTheme="minorEastAsia" w:eastAsiaTheme="minorEastAsia"/>
          <w:szCs w:val="21"/>
        </w:rPr>
        <w:t>或其他必要主体（如产品托管人、聘请的外部法律、审计等服务机构以及理财投资合作机构）</w:t>
      </w:r>
      <w:r>
        <w:rPr>
          <w:rFonts w:asciiTheme="minorEastAsia" w:hAnsiTheme="minorEastAsia" w:eastAsiaTheme="minorEastAsia"/>
          <w:szCs w:val="21"/>
        </w:rPr>
        <w:t>披露；</w:t>
      </w:r>
    </w:p>
    <w:p>
      <w:pPr>
        <w:spacing w:line="360" w:lineRule="auto"/>
        <w:ind w:firstLine="420" w:firstLineChars="200"/>
        <w:rPr>
          <w:rFonts w:cs="宋体" w:asciiTheme="minorEastAsia" w:hAnsiTheme="minorEastAsia" w:eastAsiaTheme="minorEastAsia"/>
          <w:bCs/>
          <w:iCs/>
          <w:color w:val="000000"/>
          <w:szCs w:val="21"/>
        </w:rPr>
      </w:pPr>
      <w:r>
        <w:rPr>
          <w:rFonts w:hint="eastAsia" w:asciiTheme="minorEastAsia" w:hAnsiTheme="minorEastAsia" w:eastAsiaTheme="minorEastAsia"/>
          <w:szCs w:val="21"/>
        </w:rPr>
        <w:t>（</w:t>
      </w:r>
      <w:r>
        <w:rPr>
          <w:rFonts w:asciiTheme="minorEastAsia" w:hAnsiTheme="minorEastAsia" w:eastAsiaTheme="minorEastAsia"/>
          <w:szCs w:val="21"/>
        </w:rPr>
        <w:t>8）</w:t>
      </w:r>
      <w:r>
        <w:rPr>
          <w:rFonts w:cs="宋体" w:asciiTheme="minorEastAsia" w:hAnsiTheme="minorEastAsia" w:eastAsiaTheme="minorEastAsia"/>
          <w:bCs/>
          <w:iCs/>
          <w:color w:val="000000"/>
          <w:szCs w:val="21"/>
        </w:rPr>
        <w:t>以</w:t>
      </w:r>
      <w:r>
        <w:rPr>
          <w:rFonts w:hint="eastAsia" w:cs="宋体" w:asciiTheme="minorEastAsia" w:hAnsiTheme="minorEastAsia" w:eastAsiaTheme="minorEastAsia"/>
          <w:bCs/>
          <w:iCs/>
          <w:color w:val="000000"/>
          <w:szCs w:val="21"/>
        </w:rPr>
        <w:t>产品管理人</w:t>
      </w:r>
      <w:r>
        <w:rPr>
          <w:rFonts w:cs="宋体" w:asciiTheme="minorEastAsia" w:hAnsiTheme="minorEastAsia" w:eastAsiaTheme="minorEastAsia"/>
          <w:bCs/>
          <w:iCs/>
          <w:color w:val="000000"/>
          <w:szCs w:val="21"/>
        </w:rPr>
        <w:t>的名义，依照</w:t>
      </w:r>
      <w:r>
        <w:rPr>
          <w:rFonts w:hint="eastAsia" w:cs="宋体" w:asciiTheme="minorEastAsia" w:hAnsiTheme="minorEastAsia" w:eastAsiaTheme="minorEastAsia"/>
          <w:bCs/>
          <w:iCs/>
          <w:color w:val="000000"/>
          <w:szCs w:val="21"/>
        </w:rPr>
        <w:t>法律法规、监管规定</w:t>
      </w:r>
      <w:r>
        <w:rPr>
          <w:rFonts w:cs="宋体" w:asciiTheme="minorEastAsia" w:hAnsiTheme="minorEastAsia" w:eastAsiaTheme="minorEastAsia"/>
          <w:bCs/>
          <w:iCs/>
          <w:color w:val="000000"/>
          <w:szCs w:val="21"/>
        </w:rPr>
        <w:t>以及为</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的利益，行使因</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财产投资于基础资产（包括但不限于债权类资产）所产生的相关权利</w:t>
      </w:r>
      <w:r>
        <w:rPr>
          <w:rFonts w:hint="eastAsia"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9</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以</w:t>
      </w:r>
      <w:r>
        <w:rPr>
          <w:rFonts w:hint="eastAsia" w:cs="宋体" w:asciiTheme="minorEastAsia" w:hAnsiTheme="minorEastAsia" w:eastAsiaTheme="minorEastAsia"/>
          <w:bCs/>
          <w:iCs/>
          <w:color w:val="000000"/>
          <w:szCs w:val="21"/>
        </w:rPr>
        <w:t>产品管理人</w:t>
      </w:r>
      <w:r>
        <w:rPr>
          <w:rFonts w:cs="宋体" w:asciiTheme="minorEastAsia" w:hAnsiTheme="minorEastAsia" w:eastAsiaTheme="minorEastAsia"/>
          <w:bCs/>
          <w:iCs/>
          <w:color w:val="000000"/>
          <w:szCs w:val="21"/>
        </w:rPr>
        <w:t>的名义，依照</w:t>
      </w:r>
      <w:r>
        <w:rPr>
          <w:rFonts w:hint="eastAsia" w:cs="宋体" w:asciiTheme="minorEastAsia" w:hAnsiTheme="minorEastAsia" w:eastAsiaTheme="minorEastAsia"/>
          <w:bCs/>
          <w:iCs/>
          <w:color w:val="000000"/>
          <w:szCs w:val="21"/>
        </w:rPr>
        <w:t>法律法规、监管规定</w:t>
      </w:r>
      <w:r>
        <w:rPr>
          <w:rFonts w:cs="宋体" w:asciiTheme="minorEastAsia" w:hAnsiTheme="minorEastAsia" w:eastAsiaTheme="minorEastAsia"/>
          <w:bCs/>
          <w:iCs/>
          <w:color w:val="000000"/>
          <w:szCs w:val="21"/>
        </w:rPr>
        <w:t>以及代表</w:t>
      </w:r>
      <w:r>
        <w:rPr>
          <w:rFonts w:hint="eastAsia" w:cs="宋体" w:asciiTheme="minorEastAsia" w:hAnsiTheme="minorEastAsia" w:eastAsiaTheme="minorEastAsia"/>
          <w:bCs/>
          <w:iCs/>
          <w:color w:val="000000"/>
          <w:szCs w:val="21"/>
        </w:rPr>
        <w:t>理财产品投资者</w:t>
      </w:r>
      <w:r>
        <w:rPr>
          <w:rFonts w:cs="宋体" w:asciiTheme="minorEastAsia" w:hAnsiTheme="minorEastAsia" w:eastAsiaTheme="minorEastAsia"/>
          <w:bCs/>
          <w:iCs/>
          <w:color w:val="000000"/>
          <w:szCs w:val="21"/>
        </w:rPr>
        <w:t>的利益行使代为追索的权利（包括但不限于提起诉讼/仲裁、申请保全/执行的权利）或者实施其他法律行为</w:t>
      </w:r>
      <w:r>
        <w:rPr>
          <w:rFonts w:hint="eastAsia" w:cs="宋体" w:asciiTheme="minorEastAsia" w:hAnsiTheme="minorEastAsia" w:eastAsiaTheme="minorEastAsia"/>
          <w:bCs/>
          <w:iCs/>
          <w:color w:val="000000"/>
          <w:szCs w:val="21"/>
        </w:rPr>
        <w:t>，该等行为产生的</w:t>
      </w:r>
      <w:r>
        <w:rPr>
          <w:rFonts w:cs="宋体" w:asciiTheme="minorEastAsia" w:hAnsiTheme="minorEastAsia" w:eastAsiaTheme="minorEastAsia"/>
          <w:bCs/>
          <w:iCs/>
          <w:color w:val="000000"/>
          <w:szCs w:val="21"/>
        </w:rPr>
        <w:t>费用</w:t>
      </w:r>
      <w:r>
        <w:rPr>
          <w:rFonts w:hint="eastAsia" w:cs="宋体" w:asciiTheme="minorEastAsia" w:hAnsiTheme="minorEastAsia" w:eastAsiaTheme="minorEastAsia"/>
          <w:bCs/>
          <w:iCs/>
          <w:color w:val="000000"/>
          <w:szCs w:val="21"/>
        </w:rPr>
        <w:t>由理财产品承担；</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10</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在</w:t>
      </w:r>
      <w:r>
        <w:rPr>
          <w:rFonts w:hint="eastAsia" w:cs="宋体" w:asciiTheme="minorEastAsia" w:hAnsiTheme="minorEastAsia" w:eastAsiaTheme="minorEastAsia"/>
          <w:bCs/>
          <w:iCs/>
          <w:color w:val="000000"/>
          <w:szCs w:val="21"/>
        </w:rPr>
        <w:t>法律法规、监管规定</w:t>
      </w:r>
      <w:r>
        <w:rPr>
          <w:rFonts w:cs="宋体" w:asciiTheme="minorEastAsia" w:hAnsiTheme="minorEastAsia" w:eastAsiaTheme="minorEastAsia"/>
          <w:bCs/>
          <w:iCs/>
          <w:color w:val="000000"/>
          <w:szCs w:val="21"/>
        </w:rPr>
        <w:t>允许的前提下调整估值日</w:t>
      </w:r>
      <w:r>
        <w:rPr>
          <w:rFonts w:hint="eastAsia"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11</w:t>
      </w:r>
      <w:r>
        <w:rPr>
          <w:rFonts w:hint="eastAsia" w:cs="宋体" w:asciiTheme="minorEastAsia" w:hAnsiTheme="minorEastAsia" w:eastAsiaTheme="minorEastAsia"/>
          <w:bCs/>
          <w:iCs/>
          <w:color w:val="000000"/>
          <w:szCs w:val="21"/>
        </w:rPr>
        <w:t>）法律法规、监管规定</w:t>
      </w:r>
      <w:r>
        <w:rPr>
          <w:rFonts w:cs="宋体" w:asciiTheme="minorEastAsia" w:hAnsiTheme="minorEastAsia" w:eastAsiaTheme="minorEastAsia"/>
          <w:bCs/>
          <w:iCs/>
          <w:color w:val="000000"/>
          <w:szCs w:val="21"/>
        </w:rPr>
        <w:t>和</w:t>
      </w:r>
      <w:r>
        <w:rPr>
          <w:rFonts w:hint="eastAsia" w:cs="宋体" w:asciiTheme="minorEastAsia" w:hAnsiTheme="minorEastAsia" w:eastAsiaTheme="minorEastAsia"/>
          <w:bCs/>
          <w:iCs/>
          <w:color w:val="000000"/>
          <w:szCs w:val="21"/>
        </w:rPr>
        <w:t>理财产品销售文件</w:t>
      </w:r>
      <w:r>
        <w:rPr>
          <w:rFonts w:cs="宋体" w:asciiTheme="minorEastAsia" w:hAnsiTheme="minorEastAsia" w:eastAsiaTheme="minorEastAsia"/>
          <w:bCs/>
          <w:iCs/>
          <w:color w:val="000000"/>
          <w:szCs w:val="21"/>
        </w:rPr>
        <w:t>约定的其他权利</w:t>
      </w:r>
      <w:r>
        <w:rPr>
          <w:rFonts w:hint="eastAsia" w:cs="宋体" w:asciiTheme="minorEastAsia" w:hAnsiTheme="minorEastAsia" w:eastAsiaTheme="minorEastAsia"/>
          <w:bCs/>
          <w:iCs/>
          <w:color w:val="000000"/>
          <w:szCs w:val="21"/>
        </w:rPr>
        <w:t>与义务</w:t>
      </w:r>
      <w:r>
        <w:rPr>
          <w:rFonts w:cs="宋体" w:asciiTheme="minorEastAsia" w:hAnsiTheme="minorEastAsia" w:eastAsiaTheme="minorEastAsia"/>
          <w:bCs/>
          <w:iCs/>
          <w:color w:val="000000"/>
          <w:szCs w:val="21"/>
        </w:rPr>
        <w:t>。</w:t>
      </w:r>
    </w:p>
    <w:p>
      <w:pPr>
        <w:tabs>
          <w:tab w:val="left" w:pos="344"/>
        </w:tabs>
        <w:autoSpaceDE w:val="0"/>
        <w:autoSpaceDN w:val="0"/>
        <w:spacing w:line="360" w:lineRule="auto"/>
        <w:ind w:firstLine="421"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托管人</w:t>
      </w:r>
    </w:p>
    <w:p>
      <w:pPr>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 xml:space="preserve">1.基本信息 </w:t>
      </w:r>
    </w:p>
    <w:p>
      <w:pPr>
        <w:spacing w:line="360" w:lineRule="auto"/>
        <w:ind w:firstLine="420" w:firstLineChars="200"/>
        <w:rPr>
          <w:rFonts w:cs="宋体" w:asciiTheme="minorEastAsia" w:hAnsiTheme="minorEastAsia" w:eastAsiaTheme="minorEastAsia"/>
          <w:bCs/>
          <w:iCs/>
          <w:color w:val="000000"/>
          <w:szCs w:val="21"/>
        </w:rPr>
      </w:pPr>
      <w:r>
        <w:rPr>
          <w:rFonts w:asciiTheme="minorEastAsia" w:hAnsiTheme="minorEastAsia" w:eastAsiaTheme="minorEastAsia"/>
          <w:szCs w:val="21"/>
        </w:rPr>
        <w:t>本</w:t>
      </w:r>
      <w:r>
        <w:rPr>
          <w:rFonts w:hint="eastAsia" w:cs="微软雅黑" w:asciiTheme="minorEastAsia" w:hAnsiTheme="minorEastAsia" w:eastAsiaTheme="minorEastAsia"/>
          <w:szCs w:val="21"/>
        </w:rPr>
        <w:t>理财产品</w:t>
      </w:r>
      <w:r>
        <w:rPr>
          <w:rFonts w:asciiTheme="minorEastAsia" w:hAnsiTheme="minorEastAsia" w:eastAsiaTheme="minorEastAsia"/>
          <w:szCs w:val="21"/>
        </w:rPr>
        <w:t>的</w:t>
      </w:r>
      <w:r>
        <w:rPr>
          <w:rFonts w:hint="eastAsia" w:asciiTheme="minorEastAsia" w:hAnsiTheme="minorEastAsia" w:eastAsiaTheme="minorEastAsia"/>
          <w:szCs w:val="21"/>
        </w:rPr>
        <w:t>托管人信息请见本《产品说明书》“二、产品概述”。</w:t>
      </w:r>
    </w:p>
    <w:p>
      <w:pPr>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2.</w:t>
      </w:r>
      <w:r>
        <w:rPr>
          <w:rFonts w:hint="eastAsia" w:cs="宋体" w:asciiTheme="minorEastAsia" w:hAnsiTheme="minorEastAsia" w:eastAsiaTheme="minorEastAsia"/>
          <w:b/>
          <w:bCs/>
          <w:iCs/>
          <w:color w:val="000000"/>
          <w:szCs w:val="21"/>
        </w:rPr>
        <w:t>权利与义务</w:t>
      </w:r>
      <w:r>
        <w:rPr>
          <w:rFonts w:cs="宋体" w:asciiTheme="minorEastAsia" w:hAnsiTheme="minorEastAsia" w:eastAsiaTheme="minorEastAsia"/>
          <w:b/>
          <w:bCs/>
          <w:iCs/>
          <w:color w:val="000000"/>
          <w:szCs w:val="21"/>
        </w:rPr>
        <w:t xml:space="preserve"> </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安全保管理财产品财产；</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为每只理财产品开设独立的托管账户，不同托管账户中的资产应当相互独立；</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按照理财产品销售文件、托管协议约定和管理人的投资指令，及时办理清算、交割事宜；</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4）</w:t>
      </w:r>
      <w:r>
        <w:rPr>
          <w:rFonts w:hint="eastAsia" w:cs="宋体" w:asciiTheme="minorEastAsia" w:hAnsiTheme="minorEastAsia" w:eastAsiaTheme="minorEastAsia"/>
          <w:bCs/>
          <w:iCs/>
          <w:color w:val="000000"/>
          <w:szCs w:val="21"/>
        </w:rPr>
        <w:t>建立与管理人的对账机制，复核、审查理财产品资金头寸、资产账目、资产净值、认购/申购和赎回价格等数据，及时核查认购/申购、赎回以及投资资金的支付和到账情况；</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监督理财产品投资运作，发现理财产品违反法律、行政法规、规章规定或理财产品销售文件约定进行投资的，应当拒绝执行，及时通知管理人并报告监管机构；</w:t>
      </w:r>
      <w:r>
        <w:rPr>
          <w:rFonts w:cs="宋体" w:asciiTheme="minorEastAsia" w:hAnsiTheme="minorEastAsia" w:eastAsiaTheme="minorEastAsia"/>
          <w:bCs/>
          <w:iCs/>
          <w:color w:val="000000"/>
          <w:szCs w:val="21"/>
        </w:rPr>
        <w:t xml:space="preserve"> </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6）</w:t>
      </w:r>
      <w:r>
        <w:rPr>
          <w:rFonts w:hint="eastAsia" w:cs="宋体" w:asciiTheme="minorEastAsia" w:hAnsiTheme="minorEastAsia" w:eastAsiaTheme="minorEastAsia"/>
          <w:bCs/>
          <w:iCs/>
          <w:color w:val="000000"/>
          <w:szCs w:val="21"/>
        </w:rPr>
        <w:t>办理与理财产品托管业务活动相关的信息披露事项，包括披露理财产品托管协议、对理财产品信息披露文件中的理财产品财务会计报告等出具意见，以及在公募理财产品半年度和年度报告中出具理财托管人报告等；</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7）</w:t>
      </w:r>
      <w:r>
        <w:rPr>
          <w:rFonts w:hint="eastAsia" w:cs="宋体" w:asciiTheme="minorEastAsia" w:hAnsiTheme="minorEastAsia" w:eastAsiaTheme="minorEastAsia"/>
          <w:bCs/>
          <w:iCs/>
          <w:color w:val="000000"/>
          <w:szCs w:val="21"/>
        </w:rPr>
        <w:t>理财托管业务活动的记录、账册、报表和其他相关资料保存</w:t>
      </w:r>
      <w:r>
        <w:rPr>
          <w:rFonts w:cs="宋体" w:asciiTheme="minorEastAsia" w:hAnsiTheme="minorEastAsia" w:eastAsiaTheme="minorEastAsia"/>
          <w:bCs/>
          <w:iCs/>
          <w:color w:val="000000"/>
          <w:szCs w:val="21"/>
        </w:rPr>
        <w:t>15年以上；</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8）</w:t>
      </w:r>
      <w:r>
        <w:rPr>
          <w:rFonts w:hint="eastAsia" w:cs="宋体" w:asciiTheme="minorEastAsia" w:hAnsiTheme="minorEastAsia" w:eastAsiaTheme="minorEastAsia"/>
          <w:bCs/>
          <w:iCs/>
          <w:color w:val="000000"/>
          <w:szCs w:val="21"/>
        </w:rPr>
        <w:t>对理财产品投资信息和相关资料承担保密责任，除法律、行政法规、规章规定、审计要求或者理财产品</w:t>
      </w:r>
      <w:r>
        <w:rPr>
          <w:rFonts w:hint="eastAsia" w:asciiTheme="minorEastAsia" w:hAnsiTheme="minorEastAsia" w:eastAsiaTheme="minorEastAsia"/>
          <w:color w:val="000000"/>
          <w:szCs w:val="21"/>
        </w:rPr>
        <w:t>销售文件</w:t>
      </w:r>
      <w:r>
        <w:rPr>
          <w:rFonts w:hint="eastAsia" w:cs="宋体" w:asciiTheme="minorEastAsia" w:hAnsiTheme="minorEastAsia" w:eastAsiaTheme="minorEastAsia"/>
          <w:bCs/>
          <w:iCs/>
          <w:color w:val="000000"/>
          <w:szCs w:val="21"/>
        </w:rPr>
        <w:t>约定外，不得向任何机构或者个人提供相关信息和资料；</w:t>
      </w:r>
    </w:p>
    <w:p>
      <w:pPr>
        <w:pStyle w:val="28"/>
        <w:spacing w:line="360" w:lineRule="auto"/>
        <w:ind w:firstLine="420" w:firstLineChars="200"/>
        <w:jc w:val="both"/>
        <w:rPr>
          <w:rFonts w:cs="宋体" w:asciiTheme="minorEastAsia" w:hAnsiTheme="minorEastAsia"/>
          <w:bCs/>
          <w:iCs/>
          <w:sz w:val="21"/>
          <w:szCs w:val="21"/>
        </w:rPr>
      </w:pPr>
      <w:r>
        <w:rPr>
          <w:rFonts w:hint="eastAsia" w:cs="宋体" w:asciiTheme="minorEastAsia" w:hAnsiTheme="minorEastAsia"/>
          <w:bCs/>
          <w:iCs/>
          <w:sz w:val="21"/>
          <w:szCs w:val="21"/>
        </w:rPr>
        <w:t>（</w:t>
      </w:r>
      <w:r>
        <w:rPr>
          <w:rFonts w:cs="宋体" w:asciiTheme="minorEastAsia" w:hAnsiTheme="minorEastAsia"/>
          <w:bCs/>
          <w:iCs/>
          <w:sz w:val="21"/>
          <w:szCs w:val="21"/>
        </w:rPr>
        <w:t>9）</w:t>
      </w:r>
      <w:r>
        <w:rPr>
          <w:rFonts w:hint="eastAsia" w:cs="宋体" w:asciiTheme="minorEastAsia" w:hAnsiTheme="minorEastAsia"/>
          <w:bCs/>
          <w:iCs/>
          <w:sz w:val="21"/>
          <w:szCs w:val="21"/>
        </w:rPr>
        <w:t>国务院银行业监督管理机构规定的其他职责。</w:t>
      </w:r>
      <w:r>
        <w:rPr>
          <w:rFonts w:cs="宋体" w:asciiTheme="minorEastAsia" w:hAnsiTheme="minorEastAsia"/>
          <w:bCs/>
          <w:iCs/>
          <w:sz w:val="21"/>
          <w:szCs w:val="21"/>
        </w:rPr>
        <w:t xml:space="preserve"> </w:t>
      </w:r>
    </w:p>
    <w:p>
      <w:pPr>
        <w:pStyle w:val="6"/>
        <w:spacing w:after="0" w:line="360" w:lineRule="auto"/>
        <w:ind w:firstLine="421" w:firstLineChars="200"/>
        <w:rPr>
          <w:rFonts w:asciiTheme="minorEastAsia" w:hAnsiTheme="minorEastAsia" w:eastAsiaTheme="minorEastAsia"/>
          <w:b/>
          <w:szCs w:val="21"/>
        </w:rPr>
      </w:pPr>
      <w:r>
        <w:rPr>
          <w:rFonts w:hint="eastAsia" w:asciiTheme="minorEastAsia" w:hAnsiTheme="minorEastAsia" w:eastAsiaTheme="minorEastAsia"/>
          <w:b/>
          <w:szCs w:val="21"/>
        </w:rPr>
        <w:t>（三）</w:t>
      </w:r>
      <w:r>
        <w:rPr>
          <w:rFonts w:asciiTheme="minorEastAsia" w:hAnsiTheme="minorEastAsia" w:eastAsiaTheme="minorEastAsia"/>
          <w:b/>
          <w:szCs w:val="21"/>
        </w:rPr>
        <w:t>销售机构</w:t>
      </w:r>
    </w:p>
    <w:p>
      <w:pPr>
        <w:pStyle w:val="6"/>
        <w:spacing w:after="0" w:line="360" w:lineRule="auto"/>
        <w:ind w:firstLine="421" w:firstLineChars="200"/>
        <w:rPr>
          <w:rFonts w:asciiTheme="minorEastAsia" w:hAnsiTheme="minorEastAsia" w:eastAsiaTheme="minorEastAsia"/>
          <w:b/>
          <w:szCs w:val="21"/>
        </w:rPr>
      </w:pPr>
      <w:r>
        <w:rPr>
          <w:rFonts w:asciiTheme="minorEastAsia" w:hAnsiTheme="minorEastAsia" w:eastAsiaTheme="minorEastAsia"/>
          <w:b/>
          <w:szCs w:val="21"/>
        </w:rPr>
        <w:t>1.基本信息</w:t>
      </w:r>
    </w:p>
    <w:p>
      <w:pPr>
        <w:pStyle w:val="6"/>
        <w:spacing w:after="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本</w:t>
      </w:r>
      <w:r>
        <w:rPr>
          <w:rFonts w:hint="eastAsia" w:cs="微软雅黑" w:asciiTheme="minorEastAsia" w:hAnsiTheme="minorEastAsia" w:eastAsiaTheme="minorEastAsia"/>
          <w:szCs w:val="21"/>
        </w:rPr>
        <w:t>理财产品</w:t>
      </w:r>
      <w:r>
        <w:rPr>
          <w:rFonts w:asciiTheme="minorEastAsia" w:hAnsiTheme="minorEastAsia" w:eastAsiaTheme="minorEastAsia"/>
          <w:szCs w:val="21"/>
        </w:rPr>
        <w:t>的销售机构</w:t>
      </w:r>
      <w:r>
        <w:rPr>
          <w:rFonts w:hint="eastAsia" w:asciiTheme="minorEastAsia" w:hAnsiTheme="minorEastAsia" w:eastAsiaTheme="minorEastAsia"/>
          <w:szCs w:val="21"/>
        </w:rPr>
        <w:t>信息请见本《产品说明书》“二、产品概述”。本理财产品成立后，销售机构发生调整的，管理人将提前通过本理财产品的信息披露渠道发布相关信息公告通知投资者。</w:t>
      </w:r>
    </w:p>
    <w:p>
      <w:pPr>
        <w:pStyle w:val="6"/>
        <w:spacing w:after="0" w:line="360" w:lineRule="auto"/>
        <w:ind w:firstLine="421" w:firstLineChars="200"/>
        <w:rPr>
          <w:rFonts w:asciiTheme="minorEastAsia" w:hAnsiTheme="minorEastAsia" w:eastAsiaTheme="minorEastAsia"/>
          <w:b/>
          <w:szCs w:val="21"/>
        </w:rPr>
      </w:pPr>
      <w:r>
        <w:rPr>
          <w:rFonts w:asciiTheme="minorEastAsia" w:hAnsiTheme="minorEastAsia" w:eastAsiaTheme="minorEastAsia"/>
          <w:b/>
          <w:szCs w:val="21"/>
        </w:rPr>
        <w:t>2.</w:t>
      </w:r>
      <w:r>
        <w:rPr>
          <w:rFonts w:hint="eastAsia" w:asciiTheme="minorEastAsia" w:hAnsiTheme="minorEastAsia" w:eastAsiaTheme="minorEastAsia"/>
          <w:b/>
          <w:szCs w:val="21"/>
        </w:rPr>
        <w:t>权利与义务</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1）负责理财产品的宣传推广，理财产品份额认购/申购/赎回</w:t>
      </w:r>
      <w:r>
        <w:rPr>
          <w:rFonts w:hint="eastAsia" w:asciiTheme="minorEastAsia" w:hAnsiTheme="minorEastAsia" w:eastAsiaTheme="minorEastAsia"/>
          <w:szCs w:val="21"/>
        </w:rPr>
        <w:t>等业务办理；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2）投资者风险承受能力评估和投资者适当性管理；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）协助管理人与投资者订立理财产品合同，协助投资者与管理人沟通及进行信息披露，接受投资者咨询、投诉和客户维护等销售服务；</w:t>
      </w:r>
    </w:p>
    <w:p>
      <w:pPr>
        <w:snapToGrid w:val="0"/>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4）</w:t>
      </w:r>
      <w:r>
        <w:rPr>
          <w:rFonts w:hint="eastAsia" w:cs="宋体" w:asciiTheme="minorEastAsia" w:hAnsiTheme="minorEastAsia" w:eastAsiaTheme="minorEastAsia"/>
          <w:bCs/>
          <w:iCs/>
          <w:szCs w:val="21"/>
        </w:rPr>
        <w:t>国务院银行业监督管理机构规定的其他职责</w:t>
      </w:r>
      <w:r>
        <w:rPr>
          <w:rFonts w:hint="eastAsia" w:cs="宋体" w:asciiTheme="minorEastAsia" w:hAnsiTheme="minorEastAsia" w:eastAsiaTheme="minorEastAsia"/>
          <w:bCs/>
          <w:iCs/>
          <w:color w:val="000000"/>
          <w:szCs w:val="21"/>
        </w:rPr>
        <w:t>。</w:t>
      </w:r>
    </w:p>
    <w:p>
      <w:pPr>
        <w:pStyle w:val="6"/>
        <w:snapToGrid w:val="0"/>
        <w:spacing w:after="0" w:line="360" w:lineRule="auto"/>
        <w:rPr>
          <w:rFonts w:cs="宋体" w:asciiTheme="minorEastAsia" w:hAnsiTheme="minorEastAsia" w:eastAsiaTheme="minorEastAsia"/>
          <w:b/>
          <w:bCs/>
          <w:iCs/>
          <w:color w:val="000000"/>
          <w:szCs w:val="21"/>
        </w:rPr>
      </w:pPr>
      <w:r>
        <w:rPr>
          <w:rFonts w:asciiTheme="minorEastAsia" w:hAnsiTheme="minorEastAsia" w:eastAsiaTheme="minorEastAsia"/>
          <w:b/>
          <w:szCs w:val="21"/>
        </w:rPr>
        <w:t xml:space="preserve">    </w:t>
      </w:r>
      <w:r>
        <w:rPr>
          <w:rFonts w:hint="eastAsia" w:cs="宋体" w:asciiTheme="minorEastAsia" w:hAnsiTheme="minorEastAsia" w:eastAsiaTheme="minorEastAsia"/>
          <w:b/>
          <w:bCs/>
          <w:iCs/>
          <w:color w:val="000000"/>
          <w:szCs w:val="21"/>
        </w:rPr>
        <w:t>（四）理财投资</w:t>
      </w:r>
      <w:r>
        <w:rPr>
          <w:rFonts w:cs="宋体" w:asciiTheme="minorEastAsia" w:hAnsiTheme="minorEastAsia" w:eastAsiaTheme="minorEastAsia"/>
          <w:b/>
          <w:bCs/>
          <w:iCs/>
          <w:color w:val="000000"/>
          <w:szCs w:val="21"/>
        </w:rPr>
        <w:t>合作机构</w:t>
      </w:r>
    </w:p>
    <w:p>
      <w:pPr>
        <w:pStyle w:val="6"/>
        <w:snapToGrid w:val="0"/>
        <w:spacing w:after="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w:t>
      </w:r>
      <w:r>
        <w:rPr>
          <w:rFonts w:hint="eastAsia" w:asciiTheme="minorEastAsia" w:hAnsiTheme="minorEastAsia" w:eastAsiaTheme="minorEastAsia"/>
          <w:szCs w:val="21"/>
        </w:rPr>
        <w:t>基本信息</w:t>
      </w:r>
    </w:p>
    <w:p>
      <w:pPr>
        <w:pStyle w:val="6"/>
        <w:snapToGrid w:val="0"/>
        <w:spacing w:after="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本理财产品的理财投资合作机构信息请见本《产品说明书》“二、产品概述”。</w:t>
      </w:r>
    </w:p>
    <w:p>
      <w:pPr>
        <w:pStyle w:val="6"/>
        <w:snapToGrid w:val="0"/>
        <w:spacing w:after="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权利与义务</w:t>
      </w:r>
    </w:p>
    <w:p>
      <w:pPr>
        <w:pStyle w:val="6"/>
        <w:spacing w:after="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理财投资合作机构的主要职责为进行受托资金的投资管理，根据合同约定从事受托投资或提供投资顾问等服务，具体职责以管理人与理财投资合作机构签署的合同为准。</w:t>
      </w:r>
    </w:p>
    <w:p>
      <w:pPr>
        <w:snapToGrid w:val="0"/>
        <w:spacing w:before="240" w:beforeLines="10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五、理财产品的认购</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（一）认购的操作</w:t>
      </w:r>
    </w:p>
    <w:p>
      <w:pPr>
        <w:spacing w:line="360" w:lineRule="auto"/>
        <w:ind w:firstLine="408" w:firstLineChars="200"/>
        <w:rPr>
          <w:rFonts w:cs="宋体" w:asciiTheme="minorEastAsia" w:hAnsiTheme="minorEastAsia" w:eastAsiaTheme="minorEastAsia"/>
          <w:bCs/>
          <w:iCs/>
          <w:color w:val="000000"/>
          <w:szCs w:val="21"/>
        </w:rPr>
      </w:pPr>
      <w:r>
        <w:rPr>
          <w:rFonts w:asciiTheme="minorEastAsia" w:hAnsiTheme="minorEastAsia" w:eastAsiaTheme="minorEastAsia"/>
          <w:spacing w:val="-3"/>
          <w:szCs w:val="21"/>
        </w:rPr>
        <w:t>1.</w:t>
      </w:r>
      <w:r>
        <w:rPr>
          <w:rFonts w:cs="宋体" w:asciiTheme="minorEastAsia" w:hAnsiTheme="minorEastAsia" w:eastAsiaTheme="minorEastAsia"/>
          <w:bCs/>
          <w:iCs/>
          <w:color w:val="000000"/>
          <w:szCs w:val="21"/>
        </w:rPr>
        <w:t>认购期</w:t>
      </w:r>
      <w:r>
        <w:rPr>
          <w:rFonts w:hint="eastAsia" w:cs="宋体" w:asciiTheme="minorEastAsia" w:hAnsiTheme="minorEastAsia" w:eastAsiaTheme="minorEastAsia"/>
          <w:bCs/>
          <w:iCs/>
          <w:color w:val="000000"/>
          <w:szCs w:val="21"/>
        </w:rPr>
        <w:t>及认购确认日</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认购期具体起止日期以及认购确认日</w:t>
      </w:r>
      <w:r>
        <w:rPr>
          <w:rFonts w:hint="eastAsia" w:asciiTheme="minorEastAsia" w:hAnsiTheme="minorEastAsia" w:eastAsiaTheme="minorEastAsia"/>
          <w:szCs w:val="21"/>
        </w:rPr>
        <w:t>详见</w:t>
      </w:r>
      <w:r>
        <w:rPr>
          <w:rFonts w:hint="eastAsia" w:cs="宋体" w:asciiTheme="minorEastAsia" w:hAnsiTheme="minorEastAsia" w:eastAsiaTheme="minorEastAsia"/>
          <w:bCs/>
          <w:iCs/>
          <w:color w:val="000000"/>
          <w:szCs w:val="21"/>
        </w:rPr>
        <w:t>本《产品说明书》</w:t>
      </w:r>
      <w:r>
        <w:rPr>
          <w:rFonts w:hint="eastAsia" w:asciiTheme="minorEastAsia" w:hAnsiTheme="minorEastAsia" w:eastAsiaTheme="minorEastAsia"/>
          <w:szCs w:val="21"/>
        </w:rPr>
        <w:t>“二、产品概述”</w:t>
      </w:r>
      <w:r>
        <w:rPr>
          <w:rFonts w:cs="宋体" w:asciiTheme="minorEastAsia" w:hAnsiTheme="minorEastAsia" w:eastAsiaTheme="minorEastAsia"/>
          <w:bCs/>
          <w:iCs/>
          <w:color w:val="000000"/>
          <w:szCs w:val="21"/>
        </w:rPr>
        <w:t>，产品管理人有权根据实际募集情况提前或延后</w:t>
      </w:r>
      <w:r>
        <w:rPr>
          <w:rFonts w:hint="eastAsia" w:cs="宋体" w:asciiTheme="minorEastAsia" w:hAnsiTheme="minorEastAsia" w:eastAsiaTheme="minorEastAsia"/>
          <w:bCs/>
          <w:iCs/>
          <w:color w:val="000000"/>
          <w:szCs w:val="21"/>
        </w:rPr>
        <w:t>认购期结束日期或调整认购确认日</w:t>
      </w:r>
      <w:r>
        <w:rPr>
          <w:rFonts w:cs="宋体" w:asciiTheme="minorEastAsia" w:hAnsiTheme="minorEastAsia" w:eastAsiaTheme="minorEastAsia"/>
          <w:bCs/>
          <w:iCs/>
          <w:color w:val="000000"/>
          <w:szCs w:val="21"/>
        </w:rPr>
        <w:t>，并将依照约定进行公告</w:t>
      </w:r>
      <w:r>
        <w:rPr>
          <w:rFonts w:hint="eastAsia" w:cs="宋体" w:asciiTheme="minorEastAsia" w:hAnsiTheme="minorEastAsia" w:eastAsiaTheme="minorEastAsia"/>
          <w:bCs/>
          <w:iCs/>
          <w:color w:val="000000"/>
          <w:szCs w:val="21"/>
        </w:rPr>
        <w:t>。</w:t>
      </w:r>
    </w:p>
    <w:p>
      <w:pPr>
        <w:spacing w:line="360" w:lineRule="auto"/>
        <w:ind w:firstLine="408" w:firstLineChars="200"/>
        <w:rPr>
          <w:rFonts w:cs="宋体" w:asciiTheme="minorEastAsia" w:hAnsiTheme="minorEastAsia" w:eastAsiaTheme="minorEastAsia"/>
          <w:bCs/>
          <w:iCs/>
          <w:color w:val="000000"/>
          <w:szCs w:val="21"/>
        </w:rPr>
      </w:pPr>
      <w:r>
        <w:rPr>
          <w:rFonts w:asciiTheme="minorEastAsia" w:hAnsiTheme="minorEastAsia" w:eastAsiaTheme="minorEastAsia"/>
          <w:spacing w:val="-3"/>
          <w:szCs w:val="21"/>
        </w:rPr>
        <w:t>2.</w:t>
      </w:r>
      <w:r>
        <w:rPr>
          <w:rFonts w:cs="宋体" w:asciiTheme="minorEastAsia" w:hAnsiTheme="minorEastAsia" w:eastAsiaTheme="minorEastAsia"/>
          <w:bCs/>
          <w:iCs/>
          <w:color w:val="000000"/>
          <w:szCs w:val="21"/>
        </w:rPr>
        <w:t>认购的方式</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1）</w:t>
      </w:r>
      <w:r>
        <w:rPr>
          <w:rFonts w:hint="eastAsia" w:asciiTheme="minorEastAsia" w:hAnsiTheme="minorEastAsia" w:eastAsiaTheme="minorEastAsia"/>
          <w:spacing w:val="-3"/>
          <w:szCs w:val="21"/>
        </w:rPr>
        <w:t>本理财产品采取</w:t>
      </w:r>
      <w:r>
        <w:rPr>
          <w:rFonts w:cs="宋体" w:asciiTheme="minorEastAsia" w:hAnsiTheme="minorEastAsia" w:eastAsiaTheme="minorEastAsia"/>
          <w:bCs/>
          <w:iCs/>
          <w:color w:val="000000"/>
          <w:szCs w:val="21"/>
        </w:rPr>
        <w:t>“金额认购、份额确认”</w:t>
      </w:r>
      <w:r>
        <w:rPr>
          <w:rFonts w:hint="eastAsia" w:asciiTheme="minorEastAsia" w:hAnsiTheme="minorEastAsia" w:eastAsiaTheme="minorEastAsia"/>
          <w:spacing w:val="-3"/>
          <w:szCs w:val="21"/>
        </w:rPr>
        <w:t>的方式。</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2）投资者可通过销售机构</w:t>
      </w:r>
      <w:r>
        <w:rPr>
          <w:rFonts w:hint="eastAsia" w:asciiTheme="minorEastAsia" w:hAnsiTheme="minorEastAsia" w:eastAsiaTheme="minorEastAsia"/>
          <w:spacing w:val="-3"/>
          <w:szCs w:val="21"/>
        </w:rPr>
        <w:t>指定</w:t>
      </w:r>
      <w:r>
        <w:rPr>
          <w:rFonts w:asciiTheme="minorEastAsia" w:hAnsiTheme="minorEastAsia" w:eastAsiaTheme="minorEastAsia"/>
          <w:spacing w:val="-3"/>
          <w:szCs w:val="21"/>
        </w:rPr>
        <w:t>销售渠道进行认购，</w:t>
      </w:r>
      <w:r>
        <w:rPr>
          <w:rFonts w:hint="eastAsia" w:asciiTheme="minorEastAsia" w:hAnsiTheme="minorEastAsia" w:eastAsiaTheme="minorEastAsia"/>
          <w:spacing w:val="-3"/>
          <w:szCs w:val="21"/>
        </w:rPr>
        <w:t>投资者提交认购申请、全额交付认购款项并经销售机构冻结或直接扣划的，认购申请成立。</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3）</w:t>
      </w:r>
      <w:r>
        <w:rPr>
          <w:rFonts w:hint="eastAsia" w:asciiTheme="minorEastAsia" w:hAnsiTheme="minorEastAsia" w:eastAsiaTheme="minorEastAsia"/>
          <w:spacing w:val="-3"/>
          <w:szCs w:val="21"/>
        </w:rPr>
        <w:t>认购撤单：在认购期内，投资者是否可以撤销其已向销售机构递交的全部或部分认购申请根据销售机构各渠道的规则执行。</w:t>
      </w:r>
    </w:p>
    <w:p>
      <w:pPr>
        <w:widowControl/>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w:t>
      </w:r>
      <w:r>
        <w:rPr>
          <w:rFonts w:asciiTheme="minorEastAsia" w:hAnsiTheme="minorEastAsia" w:eastAsiaTheme="minorEastAsia"/>
          <w:spacing w:val="-3"/>
          <w:szCs w:val="21"/>
        </w:rPr>
        <w:t>4）</w:t>
      </w:r>
      <w:r>
        <w:rPr>
          <w:rFonts w:hint="eastAsia" w:asciiTheme="minorEastAsia" w:hAnsiTheme="minorEastAsia" w:eastAsiaTheme="minorEastAsia"/>
          <w:b/>
          <w:spacing w:val="-3"/>
          <w:szCs w:val="21"/>
        </w:rPr>
        <w:t>投资者在认购期内认购申请被受理后，销售机构有权冻结或直接扣划认购款项，认购期间管理人不向投资者计付利息，是否计付利息以销售机构为准</w:t>
      </w:r>
      <w:r>
        <w:rPr>
          <w:rFonts w:hint="eastAsia" w:asciiTheme="minorEastAsia" w:hAnsiTheme="minorEastAsia" w:eastAsiaTheme="minorEastAsia"/>
          <w:spacing w:val="-3"/>
          <w:szCs w:val="21"/>
        </w:rPr>
        <w:t>。</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3.认购确认</w:t>
      </w:r>
    </w:p>
    <w:p>
      <w:pPr>
        <w:spacing w:line="360" w:lineRule="auto"/>
        <w:ind w:firstLine="408" w:firstLineChars="200"/>
        <w:rPr>
          <w:rFonts w:cs="宋体" w:asciiTheme="minorEastAsia" w:hAnsiTheme="minorEastAsia" w:eastAsiaTheme="minorEastAsia"/>
          <w:bCs/>
          <w:iCs/>
          <w:color w:val="000000"/>
          <w:szCs w:val="21"/>
        </w:rPr>
      </w:pPr>
      <w:r>
        <w:rPr>
          <w:rFonts w:hint="eastAsia" w:asciiTheme="minorEastAsia" w:hAnsiTheme="minorEastAsia" w:eastAsiaTheme="minorEastAsia"/>
          <w:spacing w:val="-3"/>
          <w:szCs w:val="21"/>
        </w:rPr>
        <w:t>如管理人在认购确认日根据投资者的认购申请为投资者成功登记认购份额，则视为投资者的认购申请生效，认购份额以管理人的登记记录及确认信息为准。投资者应在本理财产品成立后及时查询最终成交确认情况和认购份额。</w:t>
      </w:r>
    </w:p>
    <w:p>
      <w:pPr>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销售机构受理认购申请并不表示对该申请生效的确认，而仅代表其收到了认购申请，申请是否生效应以管理人的确认为准。</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（二）认购的价格</w:t>
      </w:r>
    </w:p>
    <w:p>
      <w:pPr>
        <w:spacing w:line="360" w:lineRule="auto"/>
        <w:ind w:firstLine="42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本产品的认购价格为</w:t>
      </w:r>
      <w:r>
        <w:rPr>
          <w:rFonts w:hint="eastAsia" w:cs="宋体" w:asciiTheme="minorEastAsia" w:hAnsiTheme="minorEastAsia" w:eastAsiaTheme="minorEastAsia"/>
          <w:bCs/>
          <w:iCs/>
          <w:color w:val="000000"/>
          <w:szCs w:val="21"/>
        </w:rPr>
        <w:t>“已知价”，即本产品份额</w:t>
      </w:r>
      <w:r>
        <w:rPr>
          <w:rFonts w:cs="宋体" w:asciiTheme="minorEastAsia" w:hAnsiTheme="minorEastAsia" w:eastAsiaTheme="minorEastAsia"/>
          <w:bCs/>
          <w:iCs/>
          <w:color w:val="000000"/>
          <w:szCs w:val="21"/>
        </w:rPr>
        <w:t>面值</w:t>
      </w:r>
      <w:r>
        <w:rPr>
          <w:rFonts w:hint="eastAsia" w:cs="宋体" w:asciiTheme="minorEastAsia" w:hAnsiTheme="minorEastAsia" w:eastAsiaTheme="minorEastAsia"/>
          <w:bCs/>
          <w:iCs/>
          <w:color w:val="000000"/>
          <w:szCs w:val="21"/>
        </w:rPr>
        <w:t>为</w:t>
      </w:r>
      <w:r>
        <w:rPr>
          <w:rFonts w:cs="宋体" w:asciiTheme="minorEastAsia" w:hAnsiTheme="minorEastAsia" w:eastAsiaTheme="minorEastAsia"/>
          <w:bCs/>
          <w:iCs/>
          <w:color w:val="000000"/>
          <w:szCs w:val="21"/>
        </w:rPr>
        <w:t>1.00元/份。</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（三）</w:t>
      </w:r>
      <w:r>
        <w:rPr>
          <w:rFonts w:cs="宋体" w:asciiTheme="minorEastAsia" w:hAnsiTheme="minorEastAsia" w:eastAsiaTheme="minorEastAsia"/>
          <w:b/>
          <w:bCs/>
          <w:iCs/>
          <w:color w:val="000000"/>
          <w:szCs w:val="21"/>
        </w:rPr>
        <w:t>认购的费用</w:t>
      </w:r>
      <w:r>
        <w:rPr>
          <w:rFonts w:hint="eastAsia" w:cs="宋体" w:asciiTheme="minorEastAsia" w:hAnsiTheme="minorEastAsia" w:eastAsiaTheme="minorEastAsia"/>
          <w:b/>
          <w:bCs/>
          <w:iCs/>
          <w:color w:val="000000"/>
          <w:szCs w:val="21"/>
        </w:rPr>
        <w:t>和份额计算</w:t>
      </w:r>
      <w:r>
        <w:rPr>
          <w:rFonts w:cs="宋体" w:asciiTheme="minorEastAsia" w:hAnsiTheme="minorEastAsia" w:eastAsiaTheme="minorEastAsia"/>
          <w:b/>
          <w:bCs/>
          <w:iCs/>
          <w:color w:val="000000"/>
          <w:szCs w:val="21"/>
        </w:rPr>
        <w:t xml:space="preserve"> </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1.认购费的</w:t>
      </w:r>
      <w:r>
        <w:rPr>
          <w:rFonts w:hint="eastAsia" w:cs="宋体" w:asciiTheme="minorEastAsia" w:hAnsiTheme="minorEastAsia" w:eastAsiaTheme="minorEastAsia"/>
          <w:bCs/>
          <w:iCs/>
          <w:color w:val="000000"/>
          <w:szCs w:val="21"/>
        </w:rPr>
        <w:t>收取</w:t>
      </w:r>
      <w:r>
        <w:rPr>
          <w:rFonts w:cs="宋体" w:asciiTheme="minorEastAsia" w:hAnsiTheme="minorEastAsia" w:eastAsiaTheme="minorEastAsia"/>
          <w:bCs/>
          <w:iCs/>
          <w:color w:val="000000"/>
          <w:szCs w:val="21"/>
        </w:rPr>
        <w:t>方式：在投资者购买产品时</w:t>
      </w:r>
      <w:r>
        <w:rPr>
          <w:rFonts w:hint="eastAsia" w:cs="宋体" w:asciiTheme="minorEastAsia" w:hAnsiTheme="minorEastAsia" w:eastAsiaTheme="minorEastAsia"/>
          <w:bCs/>
          <w:iCs/>
          <w:color w:val="000000"/>
          <w:szCs w:val="21"/>
        </w:rPr>
        <w:t>，由销售机构</w:t>
      </w:r>
      <w:r>
        <w:rPr>
          <w:rFonts w:cs="宋体" w:asciiTheme="minorEastAsia" w:hAnsiTheme="minorEastAsia" w:eastAsiaTheme="minorEastAsia"/>
          <w:bCs/>
          <w:iCs/>
          <w:color w:val="000000"/>
          <w:szCs w:val="21"/>
        </w:rPr>
        <w:t>收取。</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2.认购费的收费标准：具体费率</w:t>
      </w:r>
      <w:r>
        <w:rPr>
          <w:rFonts w:hint="eastAsia" w:cs="宋体" w:asciiTheme="minorEastAsia" w:hAnsiTheme="minorEastAsia" w:eastAsiaTheme="minorEastAsia"/>
          <w:bCs/>
          <w:iCs/>
          <w:color w:val="000000"/>
          <w:szCs w:val="21"/>
        </w:rPr>
        <w:t>详见</w:t>
      </w:r>
      <w:r>
        <w:rPr>
          <w:rFonts w:cs="宋体" w:asciiTheme="minorEastAsia" w:hAnsiTheme="minorEastAsia" w:eastAsiaTheme="minorEastAsia"/>
          <w:bCs/>
          <w:iCs/>
          <w:color w:val="000000"/>
          <w:szCs w:val="21"/>
        </w:rPr>
        <w:t xml:space="preserve">《产品说明书》中“二、产品概述”。 </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3.认购份额的计算</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本产品</w:t>
      </w:r>
      <w:r>
        <w:rPr>
          <w:rFonts w:cs="宋体" w:asciiTheme="minorEastAsia" w:hAnsiTheme="minorEastAsia" w:eastAsiaTheme="minorEastAsia"/>
          <w:bCs/>
          <w:iCs/>
          <w:color w:val="000000"/>
          <w:szCs w:val="21"/>
        </w:rPr>
        <w:t>认购份额的计算公式为：</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净认购金额=认购金额－认购费（如有）（四舍五入保留至小数点后两位）</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认购份额=净认购金额/认购价格（四舍五入保留至小数点后两位）</w:t>
      </w:r>
    </w:p>
    <w:p>
      <w:pPr>
        <w:spacing w:line="360" w:lineRule="auto"/>
        <w:ind w:firstLine="409" w:firstLineChars="200"/>
        <w:rPr>
          <w:rFonts w:cs="宋体" w:asciiTheme="minorEastAsia" w:hAnsiTheme="minorEastAsia" w:eastAsiaTheme="minorEastAsia"/>
          <w:b/>
          <w:bCs/>
          <w:iCs/>
          <w:color w:val="000000"/>
          <w:szCs w:val="21"/>
        </w:rPr>
      </w:pPr>
      <w:r>
        <w:rPr>
          <w:rFonts w:hint="eastAsia" w:asciiTheme="minorEastAsia" w:hAnsiTheme="minorEastAsia" w:eastAsiaTheme="minorEastAsia"/>
          <w:b/>
          <w:spacing w:val="-3"/>
          <w:szCs w:val="21"/>
        </w:rPr>
        <w:t>（四）</w:t>
      </w:r>
      <w:r>
        <w:rPr>
          <w:rFonts w:hint="eastAsia" w:cs="宋体" w:asciiTheme="minorEastAsia" w:hAnsiTheme="minorEastAsia" w:eastAsiaTheme="minorEastAsia"/>
          <w:b/>
          <w:bCs/>
          <w:iCs/>
          <w:color w:val="000000"/>
          <w:szCs w:val="21"/>
        </w:rPr>
        <w:t>认购的金额限制</w:t>
      </w:r>
    </w:p>
    <w:p>
      <w:pPr>
        <w:widowControl/>
        <w:spacing w:line="360" w:lineRule="auto"/>
        <w:ind w:firstLine="408" w:firstLineChars="200"/>
        <w:rPr>
          <w:rFonts w:asciiTheme="minorEastAsia" w:hAnsiTheme="minorEastAsia" w:eastAsiaTheme="minorEastAsia"/>
          <w:spacing w:val="-3"/>
          <w:szCs w:val="21"/>
        </w:rPr>
      </w:pPr>
      <w:r>
        <w:rPr>
          <w:rFonts w:asciiTheme="minorEastAsia" w:hAnsiTheme="minorEastAsia" w:eastAsiaTheme="minorEastAsia"/>
          <w:spacing w:val="-3"/>
          <w:szCs w:val="21"/>
        </w:rPr>
        <w:t>1.</w:t>
      </w:r>
      <w:r>
        <w:rPr>
          <w:rFonts w:hint="eastAsia" w:asciiTheme="minorEastAsia" w:hAnsiTheme="minorEastAsia" w:eastAsiaTheme="minorEastAsia"/>
          <w:spacing w:val="-3"/>
          <w:szCs w:val="21"/>
        </w:rPr>
        <w:t>投资者首次认购起点金额以及递增金额：详见</w:t>
      </w:r>
      <w:r>
        <w:rPr>
          <w:rFonts w:hint="eastAsia" w:asciiTheme="minorEastAsia" w:hAnsiTheme="minorEastAsia" w:eastAsiaTheme="minorEastAsia"/>
          <w:szCs w:val="21"/>
        </w:rPr>
        <w:t>本《产品说明书》“二、产品概述”</w:t>
      </w:r>
      <w:r>
        <w:rPr>
          <w:rFonts w:hint="eastAsia" w:asciiTheme="minorEastAsia" w:hAnsiTheme="minorEastAsia" w:eastAsiaTheme="minorEastAsia"/>
          <w:spacing w:val="-3"/>
          <w:szCs w:val="21"/>
        </w:rPr>
        <w:t>。</w:t>
      </w:r>
    </w:p>
    <w:p>
      <w:pPr>
        <w:widowControl/>
        <w:spacing w:line="360" w:lineRule="auto"/>
        <w:ind w:firstLine="408" w:firstLineChars="200"/>
        <w:rPr>
          <w:rFonts w:asciiTheme="minorEastAsia" w:hAnsiTheme="minorEastAsia" w:eastAsiaTheme="minorEastAsia"/>
          <w:spacing w:val="-3"/>
        </w:rPr>
      </w:pPr>
      <w:r>
        <w:rPr>
          <w:rFonts w:asciiTheme="minorEastAsia" w:hAnsiTheme="minorEastAsia" w:eastAsiaTheme="minorEastAsia"/>
          <w:spacing w:val="-3"/>
          <w:szCs w:val="21"/>
        </w:rPr>
        <w:t>2.</w:t>
      </w:r>
      <w:r>
        <w:rPr>
          <w:rFonts w:hint="eastAsia" w:asciiTheme="minorEastAsia" w:hAnsiTheme="minorEastAsia" w:eastAsiaTheme="minorEastAsia"/>
          <w:spacing w:val="-3"/>
          <w:szCs w:val="21"/>
        </w:rPr>
        <w:t>单</w:t>
      </w:r>
      <w:r>
        <w:rPr>
          <w:rFonts w:hint="eastAsia" w:asciiTheme="minorEastAsia" w:hAnsiTheme="minorEastAsia" w:eastAsiaTheme="minorEastAsia"/>
          <w:color w:val="000000" w:themeColor="text1"/>
          <w:szCs w:val="21"/>
          <w14:textFill>
            <w14:solidFill>
              <w14:schemeClr w14:val="tx1"/>
            </w14:solidFill>
          </w14:textFill>
        </w:rPr>
        <w:t>一投资者</w:t>
      </w:r>
      <w:r>
        <w:rPr>
          <w:rFonts w:hint="eastAsia" w:asciiTheme="minorEastAsia" w:hAnsiTheme="minorEastAsia" w:eastAsiaTheme="minorEastAsia"/>
          <w:spacing w:val="-3"/>
          <w:szCs w:val="21"/>
        </w:rPr>
        <w:t>持有上限：详见</w:t>
      </w:r>
      <w:r>
        <w:rPr>
          <w:rFonts w:hint="eastAsia" w:asciiTheme="minorEastAsia" w:hAnsiTheme="minorEastAsia" w:eastAsiaTheme="minorEastAsia"/>
          <w:szCs w:val="21"/>
        </w:rPr>
        <w:t>本《产品说明书》“二、产品概述”，</w:t>
      </w:r>
      <w:r>
        <w:rPr>
          <w:rFonts w:hint="eastAsia" w:asciiTheme="minorEastAsia" w:hAnsiTheme="minorEastAsia" w:eastAsiaTheme="minorEastAsia"/>
          <w:spacing w:val="-3"/>
          <w:szCs w:val="21"/>
        </w:rPr>
        <w:t>投资者可多次认购本理财产品，但单一投资者累计认购份额达到单</w:t>
      </w:r>
      <w:r>
        <w:rPr>
          <w:rFonts w:hint="eastAsia" w:asciiTheme="minorEastAsia" w:hAnsiTheme="minorEastAsia" w:eastAsiaTheme="minorEastAsia"/>
          <w:color w:val="000000" w:themeColor="text1"/>
          <w:szCs w:val="21"/>
          <w14:textFill>
            <w14:solidFill>
              <w14:schemeClr w14:val="tx1"/>
            </w14:solidFill>
          </w14:textFill>
        </w:rPr>
        <w:t>一投资者</w:t>
      </w:r>
      <w:r>
        <w:rPr>
          <w:rFonts w:hint="eastAsia" w:asciiTheme="minorEastAsia" w:hAnsiTheme="minorEastAsia" w:eastAsiaTheme="minorEastAsia"/>
          <w:spacing w:val="-3"/>
          <w:szCs w:val="21"/>
        </w:rPr>
        <w:t>持有上限时，</w:t>
      </w:r>
      <w:r>
        <w:rPr>
          <w:rFonts w:hint="eastAsia" w:cs="宋体" w:asciiTheme="minorEastAsia" w:hAnsiTheme="minorEastAsia" w:eastAsiaTheme="minorEastAsia"/>
          <w:color w:val="000000" w:themeColor="text1"/>
          <w:szCs w:val="21"/>
          <w14:textFill>
            <w14:solidFill>
              <w14:schemeClr w14:val="tx1"/>
            </w14:solidFill>
          </w14:textFill>
        </w:rPr>
        <w:t>销售机构</w:t>
      </w: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产品管理人有权拒绝继续接受认购。</w:t>
      </w:r>
    </w:p>
    <w:p>
      <w:pPr>
        <w:spacing w:line="360" w:lineRule="auto"/>
        <w:ind w:firstLine="408" w:firstLineChars="200"/>
        <w:rPr>
          <w:rFonts w:asciiTheme="minorEastAsia" w:hAnsiTheme="minorEastAsia" w:eastAsiaTheme="minorEastAsia"/>
          <w:spacing w:val="-3"/>
        </w:rPr>
      </w:pPr>
      <w:r>
        <w:rPr>
          <w:rFonts w:asciiTheme="minorEastAsia" w:hAnsiTheme="minorEastAsia" w:eastAsiaTheme="minorEastAsia"/>
          <w:spacing w:val="-3"/>
        </w:rPr>
        <w:t>3.</w:t>
      </w:r>
      <w:r>
        <w:rPr>
          <w:rFonts w:hint="eastAsia" w:asciiTheme="minorEastAsia" w:hAnsiTheme="minorEastAsia" w:eastAsiaTheme="minorEastAsia"/>
          <w:spacing w:val="-3"/>
        </w:rPr>
        <w:t>单笔认购上限：</w:t>
      </w:r>
      <w:r>
        <w:rPr>
          <w:rFonts w:hint="eastAsia" w:asciiTheme="minorEastAsia" w:hAnsiTheme="minorEastAsia" w:eastAsiaTheme="minorEastAsia"/>
          <w:spacing w:val="-3"/>
          <w:szCs w:val="21"/>
        </w:rPr>
        <w:t>详见</w:t>
      </w:r>
      <w:r>
        <w:rPr>
          <w:rFonts w:hint="eastAsia" w:asciiTheme="minorEastAsia" w:hAnsiTheme="minorEastAsia" w:eastAsiaTheme="minorEastAsia"/>
        </w:rPr>
        <w:t>本</w:t>
      </w:r>
      <w:r>
        <w:rPr>
          <w:rFonts w:hint="eastAsia" w:asciiTheme="minorEastAsia" w:hAnsiTheme="minorEastAsia" w:eastAsiaTheme="minorEastAsia"/>
          <w:szCs w:val="21"/>
        </w:rPr>
        <w:t>《产品说明书》“二、</w:t>
      </w:r>
      <w:r>
        <w:rPr>
          <w:rFonts w:hint="eastAsia" w:asciiTheme="minorEastAsia" w:hAnsiTheme="minorEastAsia" w:eastAsiaTheme="minorEastAsia"/>
        </w:rPr>
        <w:t>产品</w:t>
      </w:r>
      <w:r>
        <w:rPr>
          <w:rFonts w:hint="eastAsia" w:asciiTheme="minorEastAsia" w:hAnsiTheme="minorEastAsia" w:eastAsiaTheme="minorEastAsia"/>
          <w:szCs w:val="21"/>
        </w:rPr>
        <w:t>概述”，</w:t>
      </w:r>
      <w:r>
        <w:rPr>
          <w:rFonts w:hint="eastAsia" w:asciiTheme="minorEastAsia" w:hAnsiTheme="minorEastAsia" w:eastAsiaTheme="minorEastAsia"/>
          <w:spacing w:val="-3"/>
          <w:szCs w:val="21"/>
        </w:rPr>
        <w:t>销售机构</w:t>
      </w:r>
      <w:r>
        <w:rPr>
          <w:rFonts w:asciiTheme="minorEastAsia" w:hAnsiTheme="minorEastAsia" w:eastAsiaTheme="minorEastAsia"/>
          <w:spacing w:val="-3"/>
          <w:szCs w:val="21"/>
        </w:rPr>
        <w:t>/产品管理人有权拒绝超过</w:t>
      </w:r>
      <w:r>
        <w:rPr>
          <w:rFonts w:asciiTheme="minorEastAsia" w:hAnsiTheme="minorEastAsia" w:eastAsiaTheme="minorEastAsia"/>
          <w:spacing w:val="-3"/>
        </w:rPr>
        <w:t>单笔认购上限</w:t>
      </w:r>
      <w:r>
        <w:rPr>
          <w:rFonts w:asciiTheme="minorEastAsia" w:hAnsiTheme="minorEastAsia" w:eastAsiaTheme="minorEastAsia"/>
          <w:spacing w:val="-3"/>
          <w:szCs w:val="21"/>
        </w:rPr>
        <w:t>部分的申请</w:t>
      </w:r>
      <w:r>
        <w:rPr>
          <w:rFonts w:hint="eastAsia" w:asciiTheme="minorEastAsia" w:hAnsiTheme="minorEastAsia" w:eastAsiaTheme="minorEastAsia"/>
          <w:spacing w:val="-3"/>
        </w:rPr>
        <w:t>。</w:t>
      </w:r>
    </w:p>
    <w:p>
      <w:pPr>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4.为保护投资者利益，应对流动性风险或基于投资运作与风险控制需要，管理人可以综合运用以下理财产品流动性风险应对措施：</w:t>
      </w:r>
    </w:p>
    <w:p>
      <w:pPr>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认购风险应对措施包括：管理人有权设定单一投资者认购金额上限、设定理财产品单日净认购比例上限、拒绝大额认购、暂停认购，以及</w:t>
      </w:r>
      <w:r>
        <w:rPr>
          <w:rFonts w:hint="eastAsia" w:asciiTheme="minorEastAsia" w:hAnsiTheme="minorEastAsia" w:eastAsiaTheme="minorEastAsia"/>
          <w:spacing w:val="-3"/>
        </w:rPr>
        <w:t>国务院银行业监督管理机构</w:t>
      </w:r>
      <w:r>
        <w:rPr>
          <w:rFonts w:hint="eastAsia" w:asciiTheme="minorEastAsia" w:hAnsiTheme="minorEastAsia" w:eastAsiaTheme="minorEastAsia"/>
          <w:spacing w:val="-3"/>
          <w:szCs w:val="21"/>
        </w:rPr>
        <w:t>规定的其他措施，具体参见管理人届时发布的公告。</w:t>
      </w:r>
    </w:p>
    <w:p>
      <w:pPr>
        <w:spacing w:line="360" w:lineRule="auto"/>
        <w:ind w:firstLine="409" w:firstLineChars="200"/>
        <w:rPr>
          <w:rFonts w:cs="宋体" w:asciiTheme="minorEastAsia" w:hAnsiTheme="minorEastAsia" w:eastAsiaTheme="minorEastAsia"/>
          <w:b/>
          <w:bCs/>
          <w:iCs/>
          <w:color w:val="000000"/>
          <w:szCs w:val="21"/>
        </w:rPr>
      </w:pPr>
      <w:r>
        <w:rPr>
          <w:rFonts w:asciiTheme="minorEastAsia" w:hAnsiTheme="minorEastAsia" w:eastAsiaTheme="minorEastAsia"/>
          <w:b/>
          <w:spacing w:val="-3"/>
          <w:szCs w:val="21"/>
        </w:rPr>
        <w:t>5.</w:t>
      </w:r>
      <w:r>
        <w:rPr>
          <w:rFonts w:hint="eastAsia" w:asciiTheme="minorEastAsia" w:hAnsiTheme="minorEastAsia" w:eastAsiaTheme="minorEastAsia"/>
          <w:b/>
          <w:spacing w:val="-3"/>
          <w:szCs w:val="21"/>
        </w:rPr>
        <w:t>对于销售机构</w:t>
      </w:r>
      <w:r>
        <w:rPr>
          <w:rFonts w:asciiTheme="minorEastAsia" w:hAnsiTheme="minorEastAsia" w:eastAsiaTheme="minorEastAsia"/>
          <w:b/>
          <w:spacing w:val="-3"/>
          <w:szCs w:val="21"/>
        </w:rPr>
        <w:t>/产品管理人</w:t>
      </w:r>
      <w:r>
        <w:rPr>
          <w:rFonts w:hint="eastAsia" w:asciiTheme="minorEastAsia" w:hAnsiTheme="minorEastAsia" w:eastAsiaTheme="minorEastAsia"/>
          <w:b/>
          <w:spacing w:val="-3"/>
          <w:szCs w:val="21"/>
        </w:rPr>
        <w:t>决定拒绝的认购申请，视为认购不成功。</w:t>
      </w:r>
      <w:r>
        <w:rPr>
          <w:rFonts w:cs="宋体" w:asciiTheme="minorEastAsia" w:hAnsiTheme="minorEastAsia" w:eastAsiaTheme="minorEastAsia"/>
          <w:b/>
          <w:bCs/>
          <w:iCs/>
          <w:color w:val="000000"/>
          <w:szCs w:val="21"/>
        </w:rPr>
        <w:t>如需突破</w:t>
      </w:r>
      <w:r>
        <w:rPr>
          <w:rFonts w:hint="eastAsia" w:cs="宋体" w:asciiTheme="minorEastAsia" w:hAnsiTheme="minorEastAsia" w:eastAsiaTheme="minorEastAsia"/>
          <w:b/>
          <w:bCs/>
          <w:iCs/>
          <w:color w:val="000000"/>
          <w:szCs w:val="21"/>
        </w:rPr>
        <w:t>上述单一投资者持有上限、单笔认购上限的</w:t>
      </w:r>
      <w:r>
        <w:rPr>
          <w:rFonts w:cs="宋体" w:asciiTheme="minorEastAsia" w:hAnsiTheme="minorEastAsia" w:eastAsiaTheme="minorEastAsia"/>
          <w:b/>
          <w:bCs/>
          <w:iCs/>
          <w:color w:val="000000"/>
          <w:szCs w:val="21"/>
        </w:rPr>
        <w:t>，请与产品管理人或销售机构联系。</w:t>
      </w:r>
    </w:p>
    <w:p>
      <w:pPr>
        <w:spacing w:line="360" w:lineRule="auto"/>
        <w:ind w:firstLine="421" w:firstLineChars="200"/>
        <w:rPr>
          <w:rFonts w:cs="宋体" w:asciiTheme="minorEastAsia" w:hAnsiTheme="minorEastAsia" w:eastAsiaTheme="minorEastAsia"/>
          <w:b/>
          <w:bCs/>
          <w:iCs/>
          <w:color w:val="000000"/>
          <w:szCs w:val="21"/>
        </w:rPr>
      </w:pPr>
      <w:r>
        <w:rPr>
          <w:rFonts w:hint="eastAsia" w:asciiTheme="minorEastAsia" w:hAnsiTheme="minorEastAsia" w:eastAsiaTheme="minorEastAsia"/>
          <w:b/>
          <w:color w:val="000000"/>
        </w:rPr>
        <w:t>6</w:t>
      </w:r>
      <w:r>
        <w:rPr>
          <w:rFonts w:asciiTheme="minorEastAsia" w:hAnsiTheme="minorEastAsia" w:eastAsiaTheme="minorEastAsia"/>
          <w:b/>
          <w:color w:val="000000"/>
        </w:rPr>
        <w:t>.</w:t>
      </w:r>
      <w:r>
        <w:rPr>
          <w:rFonts w:hint="eastAsia" w:asciiTheme="minorEastAsia" w:hAnsiTheme="minorEastAsia" w:eastAsiaTheme="minorEastAsia"/>
          <w:b/>
          <w:szCs w:val="21"/>
        </w:rPr>
        <w:t xml:space="preserve"> ★</w:t>
      </w:r>
      <w:r>
        <w:rPr>
          <w:rFonts w:cs="宋体" w:asciiTheme="minorEastAsia" w:hAnsiTheme="minorEastAsia" w:eastAsiaTheme="minorEastAsia"/>
          <w:b/>
          <w:bCs/>
          <w:iCs/>
          <w:color w:val="000000"/>
          <w:szCs w:val="21"/>
        </w:rPr>
        <w:t>发生下列情况时，产品管理人可拒绝或暂停接受投资</w:t>
      </w:r>
      <w:r>
        <w:rPr>
          <w:rFonts w:hint="eastAsia" w:cs="宋体" w:asciiTheme="minorEastAsia" w:hAnsiTheme="minorEastAsia" w:eastAsiaTheme="minorEastAsia"/>
          <w:b/>
          <w:bCs/>
          <w:iCs/>
          <w:color w:val="000000"/>
          <w:szCs w:val="21"/>
        </w:rPr>
        <w:t>者</w:t>
      </w:r>
      <w:r>
        <w:rPr>
          <w:rFonts w:cs="宋体" w:asciiTheme="minorEastAsia" w:hAnsiTheme="minorEastAsia" w:eastAsiaTheme="minorEastAsia"/>
          <w:b/>
          <w:bCs/>
          <w:iCs/>
          <w:color w:val="000000"/>
          <w:szCs w:val="21"/>
        </w:rPr>
        <w:t>的</w:t>
      </w:r>
      <w:r>
        <w:rPr>
          <w:rFonts w:hint="eastAsia" w:cs="宋体" w:asciiTheme="minorEastAsia" w:hAnsiTheme="minorEastAsia" w:eastAsiaTheme="minorEastAsia"/>
          <w:b/>
          <w:bCs/>
          <w:iCs/>
          <w:color w:val="000000"/>
          <w:szCs w:val="21"/>
        </w:rPr>
        <w:t>认购</w:t>
      </w:r>
      <w:r>
        <w:rPr>
          <w:rFonts w:cs="宋体" w:asciiTheme="minorEastAsia" w:hAnsiTheme="minorEastAsia" w:eastAsiaTheme="minorEastAsia"/>
          <w:b/>
          <w:bCs/>
          <w:iCs/>
          <w:color w:val="000000"/>
          <w:szCs w:val="21"/>
        </w:rPr>
        <w:t xml:space="preserve">申请： </w:t>
      </w:r>
    </w:p>
    <w:p>
      <w:pPr>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因不可抗力导致理财产品无法正常运作。</w:t>
      </w:r>
    </w:p>
    <w:p>
      <w:pPr>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）管理人和托管人的技术保障等异常情况导致理财销售系统或会计系统无法正常运行。</w:t>
      </w:r>
    </w:p>
    <w:p>
      <w:pPr>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法律法规或监管机构认定的其他情形。</w:t>
      </w:r>
    </w:p>
    <w:p>
      <w:pPr>
        <w:spacing w:line="360" w:lineRule="auto"/>
        <w:ind w:firstLine="420" w:firstLineChars="200"/>
        <w:rPr>
          <w:rFonts w:asciiTheme="minorEastAsia" w:hAnsiTheme="minorEastAsia" w:eastAsiaTheme="minorEastAsia"/>
          <w:b/>
          <w:color w:val="000000"/>
        </w:rPr>
      </w:pPr>
      <w:r>
        <w:rPr>
          <w:rFonts w:cs="宋体" w:asciiTheme="minorEastAsia" w:hAnsiTheme="minorEastAsia" w:eastAsiaTheme="minorEastAsia"/>
          <w:bCs/>
          <w:iCs/>
          <w:color w:val="000000"/>
          <w:szCs w:val="21"/>
        </w:rPr>
        <w:t>如果投资</w:t>
      </w:r>
      <w:r>
        <w:rPr>
          <w:rFonts w:hint="eastAsia" w:cs="宋体" w:asciiTheme="minorEastAsia" w:hAnsiTheme="minorEastAsia" w:eastAsiaTheme="minorEastAsia"/>
          <w:bCs/>
          <w:iCs/>
          <w:color w:val="000000"/>
          <w:szCs w:val="21"/>
        </w:rPr>
        <w:t>者</w:t>
      </w:r>
      <w:r>
        <w:rPr>
          <w:rFonts w:cs="宋体" w:asciiTheme="minorEastAsia" w:hAnsiTheme="minorEastAsia" w:eastAsiaTheme="minorEastAsia"/>
          <w:bCs/>
          <w:iCs/>
          <w:color w:val="000000"/>
          <w:szCs w:val="21"/>
        </w:rPr>
        <w:t>的</w:t>
      </w:r>
      <w:r>
        <w:rPr>
          <w:rFonts w:hint="eastAsia" w:cs="宋体" w:asciiTheme="minorEastAsia" w:hAnsiTheme="minorEastAsia" w:eastAsiaTheme="minorEastAsia"/>
          <w:bCs/>
          <w:iCs/>
          <w:color w:val="000000"/>
          <w:szCs w:val="21"/>
        </w:rPr>
        <w:t>认购</w:t>
      </w:r>
      <w:r>
        <w:rPr>
          <w:rFonts w:cs="宋体" w:asciiTheme="minorEastAsia" w:hAnsiTheme="minorEastAsia" w:eastAsiaTheme="minorEastAsia"/>
          <w:bCs/>
          <w:iCs/>
          <w:color w:val="000000"/>
          <w:szCs w:val="21"/>
        </w:rPr>
        <w:t>申请被拒绝，被拒绝的</w:t>
      </w:r>
      <w:r>
        <w:rPr>
          <w:rFonts w:hint="eastAsia" w:cs="宋体" w:asciiTheme="minorEastAsia" w:hAnsiTheme="minorEastAsia" w:eastAsiaTheme="minorEastAsia"/>
          <w:bCs/>
          <w:iCs/>
          <w:color w:val="000000"/>
          <w:szCs w:val="21"/>
        </w:rPr>
        <w:t>认购</w:t>
      </w:r>
      <w:r>
        <w:rPr>
          <w:rFonts w:cs="宋体" w:asciiTheme="minorEastAsia" w:hAnsiTheme="minorEastAsia" w:eastAsiaTheme="minorEastAsia"/>
          <w:bCs/>
          <w:iCs/>
          <w:color w:val="000000"/>
          <w:szCs w:val="21"/>
        </w:rPr>
        <w:t>款项将退还给投资</w:t>
      </w:r>
      <w:r>
        <w:rPr>
          <w:rFonts w:hint="eastAsia" w:cs="宋体" w:asciiTheme="minorEastAsia" w:hAnsiTheme="minorEastAsia" w:eastAsiaTheme="minorEastAsia"/>
          <w:bCs/>
          <w:iCs/>
          <w:color w:val="000000"/>
          <w:szCs w:val="21"/>
        </w:rPr>
        <w:t>者</w:t>
      </w:r>
      <w:r>
        <w:rPr>
          <w:rFonts w:cs="宋体" w:asciiTheme="minorEastAsia" w:hAnsiTheme="minorEastAsia" w:eastAsiaTheme="minorEastAsia"/>
          <w:bCs/>
          <w:iCs/>
          <w:color w:val="000000"/>
          <w:szCs w:val="21"/>
        </w:rPr>
        <w:t>。在暂停</w:t>
      </w:r>
      <w:r>
        <w:rPr>
          <w:rFonts w:hint="eastAsia" w:cs="宋体" w:asciiTheme="minorEastAsia" w:hAnsiTheme="minorEastAsia" w:eastAsiaTheme="minorEastAsia"/>
          <w:bCs/>
          <w:iCs/>
          <w:color w:val="000000"/>
          <w:szCs w:val="21"/>
        </w:rPr>
        <w:t>认购</w:t>
      </w:r>
      <w:r>
        <w:rPr>
          <w:rFonts w:cs="宋体" w:asciiTheme="minorEastAsia" w:hAnsiTheme="minorEastAsia" w:eastAsiaTheme="minorEastAsia"/>
          <w:bCs/>
          <w:iCs/>
          <w:color w:val="000000"/>
          <w:szCs w:val="21"/>
        </w:rPr>
        <w:t>的情况消除时，产品管理人应及时恢复</w:t>
      </w:r>
      <w:r>
        <w:rPr>
          <w:rFonts w:hint="eastAsia" w:cs="宋体" w:asciiTheme="minorEastAsia" w:hAnsiTheme="minorEastAsia" w:eastAsiaTheme="minorEastAsia"/>
          <w:bCs/>
          <w:iCs/>
          <w:color w:val="000000"/>
          <w:szCs w:val="21"/>
        </w:rPr>
        <w:t>认购</w:t>
      </w:r>
      <w:r>
        <w:rPr>
          <w:rFonts w:cs="宋体" w:asciiTheme="minorEastAsia" w:hAnsiTheme="minorEastAsia" w:eastAsiaTheme="minorEastAsia"/>
          <w:bCs/>
          <w:iCs/>
          <w:color w:val="000000"/>
          <w:szCs w:val="21"/>
        </w:rPr>
        <w:t>业务的办理</w:t>
      </w:r>
      <w:r>
        <w:rPr>
          <w:rFonts w:hint="eastAsia" w:cs="宋体" w:asciiTheme="minorEastAsia" w:hAnsiTheme="minorEastAsia" w:eastAsiaTheme="minorEastAsia"/>
          <w:bCs/>
          <w:iCs/>
          <w:color w:val="000000"/>
          <w:szCs w:val="21"/>
        </w:rPr>
        <w:t>。</w:t>
      </w:r>
    </w:p>
    <w:p>
      <w:pPr>
        <w:snapToGrid w:val="0"/>
        <w:spacing w:before="240" w:beforeLines="10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六、理财产品的申购和赎回</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（一）开放日</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本产品的开放日具体详见本《产品说明书》“二、产品概述”。管理人有权根据投资运作需要等因素，增加开放日或调整开放日具体日期、申购与赎回安排，并提前根据本《产品说明书》约定进行披露，调整后的日期以产品管理人发布的公告中所载明的日期为准。</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（二）申购与赎回的原则</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1.“金额申购、份额赎回”原则，即申购以金额申请，赎回以份额申请。</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2.申购和赎回采用“</w:t>
      </w:r>
      <w:r>
        <w:rPr>
          <w:rFonts w:hint="eastAsia" w:cs="宋体" w:asciiTheme="minorEastAsia" w:hAnsiTheme="minorEastAsia" w:eastAsiaTheme="minorEastAsia"/>
          <w:bCs/>
          <w:iCs/>
          <w:color w:val="000000"/>
          <w:szCs w:val="21"/>
        </w:rPr>
        <w:t>已</w:t>
      </w:r>
      <w:r>
        <w:rPr>
          <w:rFonts w:cs="宋体" w:asciiTheme="minorEastAsia" w:hAnsiTheme="minorEastAsia" w:eastAsiaTheme="minorEastAsia"/>
          <w:bCs/>
          <w:iCs/>
          <w:color w:val="000000"/>
          <w:szCs w:val="21"/>
        </w:rPr>
        <w:t>知价”原则，</w:t>
      </w:r>
      <w:r>
        <w:rPr>
          <w:rFonts w:hint="eastAsia" w:cs="宋体" w:asciiTheme="minorEastAsia" w:hAnsiTheme="minorEastAsia" w:eastAsiaTheme="minorEastAsia"/>
          <w:bCs/>
          <w:iCs/>
          <w:color w:val="000000"/>
          <w:szCs w:val="21"/>
        </w:rPr>
        <w:t>即本产品申购价格、赎回价格均为每份</w:t>
      </w:r>
      <w:r>
        <w:rPr>
          <w:rFonts w:cs="宋体" w:asciiTheme="minorEastAsia" w:hAnsiTheme="minorEastAsia" w:eastAsiaTheme="minorEastAsia"/>
          <w:bCs/>
          <w:iCs/>
          <w:color w:val="000000"/>
          <w:szCs w:val="21"/>
        </w:rPr>
        <w:t>1.00</w:t>
      </w:r>
      <w:r>
        <w:rPr>
          <w:rFonts w:hint="eastAsia" w:cs="宋体" w:asciiTheme="minorEastAsia" w:hAnsiTheme="minorEastAsia" w:eastAsiaTheme="minorEastAsia"/>
          <w:bCs/>
          <w:iCs/>
          <w:color w:val="000000"/>
          <w:szCs w:val="21"/>
        </w:rPr>
        <w:t>元</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投资者可于开放日内向销售机构提出申购、赎回申请。</w:t>
      </w:r>
    </w:p>
    <w:p>
      <w:pPr>
        <w:spacing w:line="360" w:lineRule="auto"/>
        <w:ind w:firstLine="420" w:firstLineChars="200"/>
        <w:rPr>
          <w:rFonts w:asciiTheme="minorEastAsia" w:hAnsiTheme="minorEastAsia" w:eastAsiaTheme="minorEastAsia"/>
          <w:spacing w:val="-3"/>
          <w:szCs w:val="21"/>
        </w:rPr>
      </w:pPr>
      <w:r>
        <w:rPr>
          <w:rFonts w:cs="宋体" w:asciiTheme="minorEastAsia" w:hAnsiTheme="minorEastAsia" w:eastAsiaTheme="minorEastAsia"/>
          <w:bCs/>
          <w:iCs/>
          <w:color w:val="000000"/>
          <w:szCs w:val="21"/>
        </w:rPr>
        <w:t>4</w:t>
      </w:r>
      <w:r>
        <w:rPr>
          <w:rFonts w:asciiTheme="minorEastAsia" w:hAnsiTheme="minorEastAsia" w:eastAsiaTheme="minorEastAsia"/>
          <w:szCs w:val="21"/>
        </w:rPr>
        <w:t>.</w:t>
      </w:r>
      <w:r>
        <w:rPr>
          <w:rFonts w:hint="eastAsia" w:asciiTheme="minorEastAsia" w:hAnsiTheme="minorEastAsia" w:eastAsiaTheme="minorEastAsia"/>
          <w:spacing w:val="-3"/>
          <w:szCs w:val="21"/>
        </w:rPr>
        <w:t>投资者是否可以撤销</w:t>
      </w:r>
      <w:r>
        <w:rPr>
          <w:rFonts w:cs="宋体" w:asciiTheme="minorEastAsia" w:hAnsiTheme="minorEastAsia" w:eastAsiaTheme="minorEastAsia"/>
          <w:bCs/>
          <w:iCs/>
          <w:color w:val="000000"/>
          <w:szCs w:val="21"/>
        </w:rPr>
        <w:t>申购、赎回申请</w:t>
      </w:r>
      <w:r>
        <w:rPr>
          <w:rFonts w:hint="eastAsia" w:asciiTheme="minorEastAsia" w:hAnsiTheme="minorEastAsia" w:eastAsiaTheme="minorEastAsia"/>
          <w:spacing w:val="-3"/>
          <w:szCs w:val="21"/>
        </w:rPr>
        <w:t>，根据销售机构各渠道的规则执行。</w:t>
      </w:r>
    </w:p>
    <w:p>
      <w:pPr>
        <w:spacing w:line="360" w:lineRule="auto"/>
        <w:ind w:firstLine="424" w:firstLineChars="208"/>
        <w:rPr>
          <w:rFonts w:asciiTheme="minorEastAsia" w:hAnsiTheme="minorEastAsia" w:eastAsiaTheme="minorEastAsia"/>
          <w:spacing w:val="-3"/>
          <w:szCs w:val="21"/>
        </w:rPr>
      </w:pPr>
      <w:r>
        <w:rPr>
          <w:rFonts w:asciiTheme="minorEastAsia" w:hAnsiTheme="minorEastAsia" w:eastAsiaTheme="minorEastAsia"/>
          <w:spacing w:val="-3"/>
          <w:szCs w:val="21"/>
        </w:rPr>
        <w:t>5</w:t>
      </w:r>
      <w:r>
        <w:rPr>
          <w:rFonts w:hint="eastAsia" w:asciiTheme="minorEastAsia" w:hAnsiTheme="minorEastAsia" w:eastAsiaTheme="minorEastAsia"/>
          <w:spacing w:val="-3"/>
          <w:szCs w:val="21"/>
        </w:rPr>
        <w:t>.为保护投资者利益，应对流动性风险或基于投资运作与风险控制需要，管理人可以综合运用以下理财产品流动性风险应对措施：</w:t>
      </w:r>
    </w:p>
    <w:p>
      <w:pPr>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（1）申购风险应对措施包括：设定单笔申购上限或单一投资者持有上限、设定单日净申购比例上限、拒绝大额申购、暂停申购，以及国务院银行业监督管理机构规定的其他措施。</w:t>
      </w:r>
    </w:p>
    <w:p>
      <w:pPr>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（2）赎回风险应对措施包括：设置赎回上限、延期办理巨额赎回申请、暂停接受赎回申请、延缓支付赎回款项、收取短期赎回费、暂停理财产品估值，以及国务院银行业监督管理机构规定的其他措施。</w:t>
      </w:r>
    </w:p>
    <w:p>
      <w:pPr>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管理人基于投资运作与风险控制的需要，可采取上述措施对理财产品规模予以控制，并将根据本理财产品说明书约定的信息披露方式向投资者进行信息披露。</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（三）理财产品的申购</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1.申购的方式</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w:t>
      </w:r>
      <w:r>
        <w:rPr>
          <w:rFonts w:asciiTheme="minorEastAsia" w:hAnsiTheme="minorEastAsia" w:eastAsiaTheme="minorEastAsia"/>
          <w:spacing w:val="-3"/>
          <w:szCs w:val="21"/>
        </w:rPr>
        <w:t>投资者可通过销售机构</w:t>
      </w:r>
      <w:r>
        <w:rPr>
          <w:rFonts w:hint="eastAsia" w:asciiTheme="minorEastAsia" w:hAnsiTheme="minorEastAsia" w:eastAsiaTheme="minorEastAsia"/>
          <w:spacing w:val="-3"/>
          <w:szCs w:val="21"/>
        </w:rPr>
        <w:t>指定</w:t>
      </w:r>
      <w:r>
        <w:rPr>
          <w:rFonts w:asciiTheme="minorEastAsia" w:hAnsiTheme="minorEastAsia" w:eastAsiaTheme="minorEastAsia"/>
          <w:spacing w:val="-3"/>
          <w:szCs w:val="21"/>
        </w:rPr>
        <w:t>销售渠道进行</w:t>
      </w:r>
      <w:r>
        <w:rPr>
          <w:rFonts w:hint="eastAsia" w:asciiTheme="minorEastAsia" w:hAnsiTheme="minorEastAsia" w:eastAsiaTheme="minorEastAsia"/>
          <w:spacing w:val="-3"/>
          <w:szCs w:val="21"/>
        </w:rPr>
        <w:t>申购</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投资者提交申购申请、全额交付申购款项并经销售机构冻结或直接扣划的，申购申请成立。</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w:t>
      </w:r>
      <w:r>
        <w:rPr>
          <w:rFonts w:hint="eastAsia" w:asciiTheme="minorEastAsia" w:hAnsiTheme="minorEastAsia" w:eastAsiaTheme="minorEastAsia"/>
          <w:b/>
          <w:spacing w:val="-3"/>
          <w:szCs w:val="21"/>
        </w:rPr>
        <w:t>投资者</w:t>
      </w:r>
      <w:r>
        <w:rPr>
          <w:rFonts w:hint="eastAsia" w:cs="宋体" w:asciiTheme="minorEastAsia" w:hAnsiTheme="minorEastAsia" w:eastAsiaTheme="minorEastAsia"/>
          <w:b/>
          <w:bCs/>
          <w:iCs/>
          <w:color w:val="000000"/>
          <w:szCs w:val="21"/>
        </w:rPr>
        <w:t>在开放日内申购申请被受理后，销售机构有权冻结或直接扣划申购款项，期间管理人不向投资者计付利息，是否计付利息以销售机构为准</w:t>
      </w:r>
      <w:r>
        <w:rPr>
          <w:rFonts w:hint="eastAsia"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2.申购的确认</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1）如管理人在申购确认日根据投资者的申购申请为投资者成功登记申购份额，则视为投资者的申购申请生效，投资者自申购确认日起享有本产品的分配权益，申购份额以管理人的登记记录及确认信息为准。投资者应在申购确认日及时查询最终成交确认情况和申购的份额。</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销售机构受理申购申请并不表示对该申请生效的确认，而仅代表其收到了申购申请，申请是否生效应以管理人的确认为准。</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（2）对于投资者提出的申购申请，管理人将按照如下方式确认申购申请</w:t>
      </w:r>
      <w:r>
        <w:rPr>
          <w:rFonts w:hint="eastAsia" w:cs="宋体" w:asciiTheme="minorEastAsia" w:hAnsiTheme="minorEastAsia" w:eastAsiaTheme="minorEastAsia"/>
          <w:color w:val="000000" w:themeColor="text1"/>
          <w:szCs w:val="21"/>
          <w14:textFill>
            <w14:solidFill>
              <w14:schemeClr w14:val="tx1"/>
            </w14:solidFill>
          </w14:textFill>
        </w:rPr>
        <w:t>（具体交易规则以销售机构为准）</w:t>
      </w:r>
      <w:r>
        <w:rPr>
          <w:rFonts w:hint="eastAsia" w:cs="宋体" w:asciiTheme="minorEastAsia" w:hAnsiTheme="minorEastAsia" w:eastAsiaTheme="minorEastAsia"/>
          <w:bCs/>
          <w:iCs/>
          <w:color w:val="000000"/>
          <w:szCs w:val="21"/>
        </w:rPr>
        <w:t>：</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适用于A、B、C、D、E、F、G、H类份额：</w:t>
      </w:r>
    </w:p>
    <w:tbl>
      <w:tblPr>
        <w:tblStyle w:val="1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411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360" w:lineRule="auto"/>
              <w:jc w:val="center"/>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申购申请时间</w:t>
            </w:r>
          </w:p>
        </w:tc>
        <w:tc>
          <w:tcPr>
            <w:tcW w:w="4110" w:type="dxa"/>
          </w:tcPr>
          <w:p>
            <w:pPr>
              <w:spacing w:line="360" w:lineRule="auto"/>
              <w:jc w:val="center"/>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申购确认方式</w:t>
            </w:r>
          </w:p>
        </w:tc>
        <w:tc>
          <w:tcPr>
            <w:tcW w:w="1560" w:type="dxa"/>
          </w:tcPr>
          <w:p>
            <w:pPr>
              <w:spacing w:line="360" w:lineRule="auto"/>
              <w:jc w:val="center"/>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申购确认日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T日00:00-17:00</w:t>
            </w:r>
            <w:r>
              <w:rPr>
                <w:rFonts w:hint="eastAsia" w:cs="宋体" w:asciiTheme="minorEastAsia" w:hAnsiTheme="minorEastAsia" w:eastAsiaTheme="minorEastAsia"/>
                <w:bCs/>
                <w:iCs/>
                <w:color w:val="000000"/>
                <w:szCs w:val="21"/>
              </w:rPr>
              <w:t>（不含）</w:t>
            </w:r>
          </w:p>
          <w:p>
            <w:pPr>
              <w:spacing w:line="360" w:lineRule="auto"/>
              <w:jc w:val="center"/>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T为工作日）</w:t>
            </w:r>
          </w:p>
        </w:tc>
        <w:tc>
          <w:tcPr>
            <w:tcW w:w="4110" w:type="dxa"/>
          </w:tcPr>
          <w:p>
            <w:pPr>
              <w:spacing w:line="360" w:lineRule="auto"/>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管理人将视为</w:t>
            </w:r>
            <w:r>
              <w:rPr>
                <w:rFonts w:cs="宋体" w:asciiTheme="minorEastAsia" w:hAnsiTheme="minorEastAsia" w:eastAsiaTheme="minorEastAsia"/>
                <w:bCs/>
                <w:iCs/>
                <w:color w:val="000000"/>
                <w:szCs w:val="21"/>
              </w:rPr>
              <w:t>T日当日的申购申请，管理</w:t>
            </w:r>
            <w:r>
              <w:rPr>
                <w:rFonts w:hint="eastAsia" w:cs="宋体" w:asciiTheme="minorEastAsia" w:hAnsiTheme="minorEastAsia" w:eastAsiaTheme="minorEastAsia"/>
                <w:bCs/>
                <w:iCs/>
                <w:color w:val="000000"/>
                <w:szCs w:val="21"/>
              </w:rPr>
              <w:t>人在</w:t>
            </w:r>
            <w:r>
              <w:rPr>
                <w:rFonts w:cs="宋体" w:asciiTheme="minorEastAsia" w:hAnsiTheme="minorEastAsia" w:eastAsiaTheme="minorEastAsia"/>
                <w:bCs/>
                <w:iCs/>
                <w:color w:val="000000"/>
                <w:szCs w:val="21"/>
              </w:rPr>
              <w:t>T日后第1个工作日对投资者申购申请进行确认。</w:t>
            </w:r>
          </w:p>
        </w:tc>
        <w:tc>
          <w:tcPr>
            <w:tcW w:w="1560"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T+1</w:t>
            </w:r>
            <w:r>
              <w:rPr>
                <w:rFonts w:hint="eastAsia" w:cs="宋体" w:asciiTheme="minorEastAsia" w:hAnsiTheme="minorEastAsia" w:eastAsiaTheme="minorEastAsia"/>
                <w:bCs/>
                <w:iCs/>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T日17:00-24:00</w:t>
            </w:r>
            <w:r>
              <w:rPr>
                <w:rFonts w:hint="eastAsia" w:cs="宋体" w:asciiTheme="minorEastAsia" w:hAnsiTheme="minorEastAsia" w:eastAsiaTheme="minorEastAsia"/>
                <w:bCs/>
                <w:iCs/>
                <w:color w:val="000000"/>
                <w:szCs w:val="21"/>
              </w:rPr>
              <w:t>（不含）</w:t>
            </w:r>
          </w:p>
          <w:p>
            <w:pPr>
              <w:spacing w:line="360" w:lineRule="auto"/>
              <w:jc w:val="center"/>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T为工作日）</w:t>
            </w:r>
          </w:p>
        </w:tc>
        <w:tc>
          <w:tcPr>
            <w:tcW w:w="4110" w:type="dxa"/>
          </w:tcPr>
          <w:p>
            <w:pPr>
              <w:spacing w:line="360" w:lineRule="auto"/>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管理人将视为</w:t>
            </w:r>
            <w:r>
              <w:rPr>
                <w:rFonts w:cs="宋体" w:asciiTheme="minorEastAsia" w:hAnsiTheme="minorEastAsia" w:eastAsiaTheme="minorEastAsia"/>
                <w:bCs/>
                <w:iCs/>
                <w:color w:val="000000"/>
                <w:szCs w:val="21"/>
              </w:rPr>
              <w:t>T日后第1个工作日的申购申请，管理人在T日后第2个工作日对投资者申购申请进行确认。</w:t>
            </w:r>
          </w:p>
        </w:tc>
        <w:tc>
          <w:tcPr>
            <w:tcW w:w="1560"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T+2</w:t>
            </w:r>
            <w:r>
              <w:rPr>
                <w:rFonts w:hint="eastAsia" w:cs="宋体" w:asciiTheme="minorEastAsia" w:hAnsiTheme="minorEastAsia" w:eastAsiaTheme="minorEastAsia"/>
                <w:bCs/>
                <w:iCs/>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89"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T日00:00-24:00</w:t>
            </w:r>
            <w:r>
              <w:rPr>
                <w:rFonts w:hint="eastAsia" w:cs="宋体" w:asciiTheme="minorEastAsia" w:hAnsiTheme="minorEastAsia" w:eastAsiaTheme="minorEastAsia"/>
                <w:bCs/>
                <w:iCs/>
                <w:color w:val="000000"/>
                <w:szCs w:val="21"/>
              </w:rPr>
              <w:t>（不含）</w:t>
            </w:r>
          </w:p>
          <w:p>
            <w:pPr>
              <w:spacing w:line="360" w:lineRule="auto"/>
              <w:jc w:val="center"/>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T为非工作日）</w:t>
            </w:r>
          </w:p>
        </w:tc>
        <w:tc>
          <w:tcPr>
            <w:tcW w:w="4110" w:type="dxa"/>
          </w:tcPr>
          <w:p>
            <w:pPr>
              <w:spacing w:line="360" w:lineRule="auto"/>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管理人将视为</w:t>
            </w:r>
            <w:r>
              <w:rPr>
                <w:rFonts w:cs="宋体" w:asciiTheme="minorEastAsia" w:hAnsiTheme="minorEastAsia" w:eastAsiaTheme="minorEastAsia"/>
                <w:bCs/>
                <w:iCs/>
                <w:color w:val="000000"/>
                <w:szCs w:val="21"/>
              </w:rPr>
              <w:t>T日后第1个工作日的申购申请，管理人在T日后第2个工作日对投资者申购申请进行确认。</w:t>
            </w:r>
          </w:p>
        </w:tc>
        <w:tc>
          <w:tcPr>
            <w:tcW w:w="1560"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T+2</w:t>
            </w:r>
            <w:r>
              <w:rPr>
                <w:rFonts w:hint="eastAsia" w:cs="宋体" w:asciiTheme="minorEastAsia" w:hAnsiTheme="minorEastAsia" w:eastAsiaTheme="minorEastAsia"/>
                <w:bCs/>
                <w:iCs/>
                <w:color w:val="000000"/>
                <w:szCs w:val="21"/>
              </w:rPr>
              <w:t>日</w:t>
            </w:r>
          </w:p>
        </w:tc>
      </w:tr>
    </w:tbl>
    <w:p>
      <w:pPr>
        <w:spacing w:before="120" w:beforeLines="50"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3.申购的费用</w:t>
      </w:r>
      <w:r>
        <w:rPr>
          <w:rFonts w:hint="eastAsia" w:cs="宋体" w:asciiTheme="minorEastAsia" w:hAnsiTheme="minorEastAsia" w:eastAsiaTheme="minorEastAsia"/>
          <w:bCs/>
          <w:iCs/>
          <w:color w:val="000000"/>
          <w:szCs w:val="21"/>
        </w:rPr>
        <w:t>和份额计算</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）申购</w:t>
      </w:r>
      <w:r>
        <w:rPr>
          <w:rFonts w:cs="宋体" w:asciiTheme="minorEastAsia" w:hAnsiTheme="minorEastAsia" w:eastAsiaTheme="minorEastAsia"/>
          <w:bCs/>
          <w:iCs/>
          <w:color w:val="000000"/>
          <w:szCs w:val="21"/>
        </w:rPr>
        <w:t>费的</w:t>
      </w:r>
      <w:r>
        <w:rPr>
          <w:rFonts w:hint="eastAsia" w:cs="宋体" w:asciiTheme="minorEastAsia" w:hAnsiTheme="minorEastAsia" w:eastAsiaTheme="minorEastAsia"/>
          <w:bCs/>
          <w:iCs/>
          <w:color w:val="000000"/>
          <w:szCs w:val="21"/>
        </w:rPr>
        <w:t>收取</w:t>
      </w:r>
      <w:r>
        <w:rPr>
          <w:rFonts w:cs="宋体" w:asciiTheme="minorEastAsia" w:hAnsiTheme="minorEastAsia" w:eastAsiaTheme="minorEastAsia"/>
          <w:bCs/>
          <w:iCs/>
          <w:color w:val="000000"/>
          <w:szCs w:val="21"/>
        </w:rPr>
        <w:t>方式：在投资者</w:t>
      </w:r>
      <w:r>
        <w:rPr>
          <w:rFonts w:hint="eastAsia" w:cs="宋体" w:asciiTheme="minorEastAsia" w:hAnsiTheme="minorEastAsia" w:eastAsiaTheme="minorEastAsia"/>
          <w:bCs/>
          <w:iCs/>
          <w:color w:val="000000"/>
          <w:szCs w:val="21"/>
        </w:rPr>
        <w:t>购买</w:t>
      </w:r>
      <w:r>
        <w:rPr>
          <w:rFonts w:cs="宋体" w:asciiTheme="minorEastAsia" w:hAnsiTheme="minorEastAsia" w:eastAsiaTheme="minorEastAsia"/>
          <w:bCs/>
          <w:iCs/>
          <w:color w:val="000000"/>
          <w:szCs w:val="21"/>
        </w:rPr>
        <w:t>产品时</w:t>
      </w:r>
      <w:r>
        <w:rPr>
          <w:rFonts w:hint="eastAsia" w:cs="宋体" w:asciiTheme="minorEastAsia" w:hAnsiTheme="minorEastAsia" w:eastAsiaTheme="minorEastAsia"/>
          <w:bCs/>
          <w:iCs/>
          <w:color w:val="000000"/>
          <w:szCs w:val="21"/>
        </w:rPr>
        <w:t>，由销售机构</w:t>
      </w:r>
      <w:r>
        <w:rPr>
          <w:rFonts w:cs="宋体" w:asciiTheme="minorEastAsia" w:hAnsiTheme="minorEastAsia" w:eastAsiaTheme="minorEastAsia"/>
          <w:bCs/>
          <w:iCs/>
          <w:color w:val="000000"/>
          <w:szCs w:val="21"/>
        </w:rPr>
        <w:t>收取。</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2）申购费的收费标准：具体费率</w:t>
      </w:r>
      <w:r>
        <w:rPr>
          <w:rFonts w:hint="eastAsia" w:cs="宋体" w:asciiTheme="minorEastAsia" w:hAnsiTheme="minorEastAsia" w:eastAsiaTheme="minorEastAsia"/>
          <w:bCs/>
          <w:iCs/>
          <w:color w:val="000000"/>
          <w:szCs w:val="21"/>
        </w:rPr>
        <w:t>详见本</w:t>
      </w:r>
      <w:r>
        <w:rPr>
          <w:rFonts w:cs="宋体" w:asciiTheme="minorEastAsia" w:hAnsiTheme="minorEastAsia" w:eastAsiaTheme="minorEastAsia"/>
          <w:bCs/>
          <w:iCs/>
          <w:color w:val="000000"/>
          <w:szCs w:val="21"/>
        </w:rPr>
        <w:t>《产品说明书》</w:t>
      </w:r>
      <w:r>
        <w:rPr>
          <w:rFonts w:hint="eastAsia" w:cs="宋体" w:asciiTheme="minorEastAsia" w:hAnsiTheme="minorEastAsia" w:eastAsiaTheme="minorEastAsia"/>
          <w:bCs/>
          <w:iCs/>
          <w:color w:val="000000"/>
          <w:szCs w:val="21"/>
        </w:rPr>
        <w:t>“二、产品概述”</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申购份额的计算</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本产品申</w:t>
      </w:r>
      <w:r>
        <w:rPr>
          <w:rFonts w:cs="宋体" w:asciiTheme="minorEastAsia" w:hAnsiTheme="minorEastAsia" w:eastAsiaTheme="minorEastAsia"/>
          <w:bCs/>
          <w:iCs/>
          <w:color w:val="000000"/>
          <w:szCs w:val="21"/>
        </w:rPr>
        <w:t>购份额的计算公式</w:t>
      </w:r>
      <w:r>
        <w:rPr>
          <w:rFonts w:hint="eastAsia" w:cs="宋体" w:asciiTheme="minorEastAsia" w:hAnsiTheme="minorEastAsia" w:eastAsiaTheme="minorEastAsia"/>
          <w:bCs/>
          <w:iCs/>
          <w:color w:val="000000"/>
          <w:szCs w:val="21"/>
        </w:rPr>
        <w:t>如下</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净</w:t>
      </w:r>
      <w:r>
        <w:rPr>
          <w:rFonts w:hint="eastAsia" w:cs="宋体" w:asciiTheme="minorEastAsia" w:hAnsiTheme="minorEastAsia" w:eastAsiaTheme="minorEastAsia"/>
          <w:bCs/>
          <w:iCs/>
          <w:color w:val="000000"/>
          <w:szCs w:val="21"/>
        </w:rPr>
        <w:t>申</w:t>
      </w:r>
      <w:r>
        <w:rPr>
          <w:rFonts w:cs="宋体" w:asciiTheme="minorEastAsia" w:hAnsiTheme="minorEastAsia" w:eastAsiaTheme="minorEastAsia"/>
          <w:bCs/>
          <w:iCs/>
          <w:color w:val="000000"/>
          <w:szCs w:val="21"/>
        </w:rPr>
        <w:t>购金额</w:t>
      </w:r>
      <w:r>
        <w:rPr>
          <w:rFonts w:hint="eastAsia" w:cs="宋体" w:asciiTheme="minorEastAsia" w:hAnsiTheme="minorEastAsia" w:eastAsiaTheme="minorEastAsia"/>
          <w:bCs/>
          <w:iCs/>
          <w:color w:val="000000"/>
          <w:szCs w:val="21"/>
        </w:rPr>
        <w:t>=申购金额－申购费（如有）（四舍五入保留至小数点后两位）</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申购份额=</w:t>
      </w:r>
      <w:r>
        <w:rPr>
          <w:rFonts w:cs="宋体" w:asciiTheme="minorEastAsia" w:hAnsiTheme="minorEastAsia" w:eastAsiaTheme="minorEastAsia"/>
          <w:bCs/>
          <w:iCs/>
          <w:color w:val="000000"/>
          <w:szCs w:val="21"/>
        </w:rPr>
        <w:t>净</w:t>
      </w:r>
      <w:r>
        <w:rPr>
          <w:rFonts w:hint="eastAsia" w:cs="宋体" w:asciiTheme="minorEastAsia" w:hAnsiTheme="minorEastAsia" w:eastAsiaTheme="minorEastAsia"/>
          <w:bCs/>
          <w:iCs/>
          <w:color w:val="000000"/>
          <w:szCs w:val="21"/>
        </w:rPr>
        <w:t>申</w:t>
      </w:r>
      <w:r>
        <w:rPr>
          <w:rFonts w:cs="宋体" w:asciiTheme="minorEastAsia" w:hAnsiTheme="minorEastAsia" w:eastAsiaTheme="minorEastAsia"/>
          <w:bCs/>
          <w:iCs/>
          <w:color w:val="000000"/>
          <w:szCs w:val="21"/>
        </w:rPr>
        <w:t>购金额</w:t>
      </w:r>
      <w:r>
        <w:rPr>
          <w:rFonts w:hint="eastAsia" w:cs="宋体" w:asciiTheme="minorEastAsia" w:hAnsiTheme="minorEastAsia" w:eastAsiaTheme="minorEastAsia"/>
          <w:bCs/>
          <w:iCs/>
          <w:color w:val="000000"/>
          <w:szCs w:val="21"/>
        </w:rPr>
        <w:t>/申购价格（四舍五入保留至小数点后两位）</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申购价格详见本</w:t>
      </w:r>
      <w:r>
        <w:rPr>
          <w:rFonts w:cs="宋体" w:asciiTheme="minorEastAsia" w:hAnsiTheme="minorEastAsia" w:eastAsiaTheme="minorEastAsia"/>
          <w:bCs/>
          <w:iCs/>
          <w:color w:val="000000"/>
          <w:szCs w:val="21"/>
        </w:rPr>
        <w:t>《产品说明书》</w:t>
      </w:r>
      <w:r>
        <w:rPr>
          <w:rFonts w:hint="eastAsia" w:cs="宋体" w:asciiTheme="minorEastAsia" w:hAnsiTheme="minorEastAsia" w:eastAsiaTheme="minorEastAsia"/>
          <w:bCs/>
          <w:iCs/>
          <w:color w:val="000000"/>
          <w:szCs w:val="21"/>
        </w:rPr>
        <w:t>“二、产品概述”。</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4.</w:t>
      </w:r>
      <w:r>
        <w:rPr>
          <w:rFonts w:hint="eastAsia" w:cs="宋体" w:asciiTheme="minorEastAsia" w:hAnsiTheme="minorEastAsia" w:eastAsiaTheme="minorEastAsia"/>
          <w:bCs/>
          <w:iCs/>
          <w:color w:val="000000"/>
          <w:szCs w:val="21"/>
        </w:rPr>
        <w:t>申购的金额限制</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投资者申购起点金额及递增金额：</w:t>
      </w:r>
      <w:r>
        <w:rPr>
          <w:rFonts w:hint="eastAsia" w:asciiTheme="minorEastAsia" w:hAnsiTheme="minorEastAsia" w:eastAsiaTheme="minorEastAsia"/>
          <w:spacing w:val="-3"/>
          <w:szCs w:val="21"/>
        </w:rPr>
        <w:t>详见</w:t>
      </w:r>
      <w:r>
        <w:rPr>
          <w:rFonts w:hint="eastAsia" w:asciiTheme="minorEastAsia" w:hAnsiTheme="minorEastAsia" w:eastAsiaTheme="minorEastAsia"/>
          <w:szCs w:val="21"/>
        </w:rPr>
        <w:t>本《产品说明书》“二、产品概述”。</w:t>
      </w:r>
    </w:p>
    <w:p>
      <w:pPr>
        <w:widowControl/>
        <w:spacing w:line="360" w:lineRule="auto"/>
        <w:ind w:firstLine="420" w:firstLineChars="200"/>
        <w:rPr>
          <w:rFonts w:asciiTheme="minorEastAsia" w:hAnsiTheme="minorEastAsia" w:eastAsiaTheme="minorEastAsia"/>
          <w:spacing w:val="-3"/>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w:t>
      </w:r>
      <w:r>
        <w:rPr>
          <w:rFonts w:hint="eastAsia" w:asciiTheme="minorEastAsia" w:hAnsiTheme="minorEastAsia" w:eastAsiaTheme="minorEastAsia"/>
          <w:spacing w:val="-3"/>
          <w:szCs w:val="21"/>
        </w:rPr>
        <w:t>单一投资者持有上限及单笔申购上限：相关规则同</w:t>
      </w:r>
      <w:r>
        <w:rPr>
          <w:rFonts w:hint="eastAsia" w:asciiTheme="minorEastAsia" w:hAnsiTheme="minorEastAsia" w:eastAsiaTheme="minorEastAsia"/>
          <w:szCs w:val="21"/>
        </w:rPr>
        <w:t>本《产品说明书》“五、理财产品的认购”中关于</w:t>
      </w:r>
      <w:r>
        <w:rPr>
          <w:rFonts w:hint="eastAsia" w:cs="宋体" w:asciiTheme="minorEastAsia" w:hAnsiTheme="minorEastAsia" w:eastAsiaTheme="minorEastAsia"/>
          <w:bCs/>
          <w:iCs/>
          <w:color w:val="000000"/>
          <w:szCs w:val="21"/>
        </w:rPr>
        <w:t>认购的金额限制</w:t>
      </w:r>
      <w:r>
        <w:rPr>
          <w:rFonts w:hint="eastAsia" w:asciiTheme="minorEastAsia" w:hAnsiTheme="minorEastAsia" w:eastAsiaTheme="minorEastAsia"/>
          <w:spacing w:val="-3"/>
          <w:szCs w:val="21"/>
        </w:rPr>
        <w:t>。</w:t>
      </w:r>
    </w:p>
    <w:p>
      <w:pPr>
        <w:spacing w:line="360" w:lineRule="auto"/>
        <w:ind w:firstLine="409" w:firstLineChars="200"/>
        <w:rPr>
          <w:rFonts w:asciiTheme="minorEastAsia" w:hAnsiTheme="minorEastAsia" w:eastAsiaTheme="minorEastAsia"/>
          <w:b/>
          <w:spacing w:val="-3"/>
          <w:szCs w:val="21"/>
        </w:rPr>
      </w:pPr>
      <w:r>
        <w:rPr>
          <w:rFonts w:hint="eastAsia" w:asciiTheme="minorEastAsia" w:hAnsiTheme="minorEastAsia" w:eastAsiaTheme="minorEastAsia"/>
          <w:b/>
          <w:spacing w:val="-3"/>
          <w:szCs w:val="21"/>
        </w:rPr>
        <w:t>对于销售机构</w:t>
      </w:r>
      <w:r>
        <w:rPr>
          <w:rFonts w:asciiTheme="minorEastAsia" w:hAnsiTheme="minorEastAsia" w:eastAsiaTheme="minorEastAsia"/>
          <w:b/>
          <w:spacing w:val="-3"/>
          <w:szCs w:val="21"/>
        </w:rPr>
        <w:t>/产品管理人决定拒绝的申购申请，视为申购不成功。如需突破上述单</w:t>
      </w:r>
      <w:r>
        <w:rPr>
          <w:rFonts w:hint="eastAsia" w:asciiTheme="minorEastAsia" w:hAnsiTheme="minorEastAsia" w:eastAsiaTheme="minorEastAsia"/>
          <w:b/>
          <w:spacing w:val="-3"/>
          <w:szCs w:val="21"/>
        </w:rPr>
        <w:t>一投资者</w:t>
      </w:r>
      <w:r>
        <w:rPr>
          <w:rFonts w:asciiTheme="minorEastAsia" w:hAnsiTheme="minorEastAsia" w:eastAsiaTheme="minorEastAsia"/>
          <w:b/>
          <w:spacing w:val="-3"/>
          <w:szCs w:val="21"/>
        </w:rPr>
        <w:t>持有上限、单笔申购上限的，请与产品管理人或销售机构联系。</w:t>
      </w:r>
    </w:p>
    <w:p>
      <w:pPr>
        <w:spacing w:line="360" w:lineRule="auto"/>
        <w:ind w:firstLine="408" w:firstLineChars="200"/>
        <w:rPr>
          <w:rFonts w:cs="宋体" w:asciiTheme="minorEastAsia" w:hAnsiTheme="minorEastAsia" w:eastAsiaTheme="minorEastAsia"/>
          <w:bCs/>
          <w:iCs/>
          <w:color w:val="000000"/>
          <w:szCs w:val="21"/>
        </w:rPr>
      </w:pPr>
      <w:r>
        <w:rPr>
          <w:rFonts w:asciiTheme="minorEastAsia" w:hAnsiTheme="minorEastAsia" w:eastAsiaTheme="minorEastAsia"/>
          <w:spacing w:val="-3"/>
          <w:szCs w:val="21"/>
        </w:rPr>
        <w:t>5.</w:t>
      </w:r>
      <w:r>
        <w:rPr>
          <w:rFonts w:hint="eastAsia" w:cs="宋体" w:asciiTheme="minorEastAsia" w:hAnsiTheme="minorEastAsia" w:eastAsiaTheme="minorEastAsia"/>
          <w:bCs/>
          <w:iCs/>
          <w:color w:val="000000"/>
          <w:szCs w:val="21"/>
        </w:rPr>
        <w:t>暂停申购的情形</w:t>
      </w:r>
    </w:p>
    <w:p>
      <w:pPr>
        <w:spacing w:line="360" w:lineRule="auto"/>
        <w:ind w:firstLine="421" w:firstLineChars="200"/>
        <w:rPr>
          <w:rFonts w:cs="宋体" w:asciiTheme="minorEastAsia" w:hAnsiTheme="minorEastAsia" w:eastAsiaTheme="minorEastAsia"/>
          <w:b/>
          <w:bCs/>
          <w:iCs/>
          <w:color w:val="000000"/>
          <w:szCs w:val="21"/>
        </w:rPr>
      </w:pPr>
      <w:r>
        <w:rPr>
          <w:rFonts w:hint="eastAsia" w:asciiTheme="minorEastAsia" w:hAnsiTheme="minorEastAsia" w:eastAsiaTheme="minorEastAsia"/>
          <w:b/>
          <w:szCs w:val="21"/>
        </w:rPr>
        <w:t>★</w:t>
      </w:r>
      <w:r>
        <w:rPr>
          <w:rFonts w:cs="宋体" w:asciiTheme="minorEastAsia" w:hAnsiTheme="minorEastAsia" w:eastAsiaTheme="minorEastAsia"/>
          <w:b/>
          <w:bCs/>
          <w:iCs/>
          <w:color w:val="000000"/>
          <w:szCs w:val="21"/>
        </w:rPr>
        <w:t>发生下列情况时，产品管理人可拒绝或暂停接受投资</w:t>
      </w:r>
      <w:r>
        <w:rPr>
          <w:rFonts w:hint="eastAsia" w:cs="宋体" w:asciiTheme="minorEastAsia" w:hAnsiTheme="minorEastAsia" w:eastAsiaTheme="minorEastAsia"/>
          <w:b/>
          <w:bCs/>
          <w:iCs/>
          <w:color w:val="000000"/>
          <w:szCs w:val="21"/>
        </w:rPr>
        <w:t>者</w:t>
      </w:r>
      <w:r>
        <w:rPr>
          <w:rFonts w:cs="宋体" w:asciiTheme="minorEastAsia" w:hAnsiTheme="minorEastAsia" w:eastAsiaTheme="minorEastAsia"/>
          <w:b/>
          <w:bCs/>
          <w:iCs/>
          <w:color w:val="000000"/>
          <w:szCs w:val="21"/>
        </w:rPr>
        <w:t xml:space="preserve">的申购申请： </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因不可抗力导致理财产品无法正常运作。</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发生暂停理财资产估值情况时，产品管理人可暂停接受投资者的申购申请。</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证券交易所或银行间市场在交易时间非正常停市，导致产品管理人无法计算当日理财资产净值。</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4）本产品出现当日净收益小于零的情形，为保护投资者的权益，产品管理人可暂停本产品的申购。</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产品管理人认为接受某笔或某些申购申请可能会影响或损害现有理财产品投资者权益时。</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6）</w:t>
      </w:r>
      <w:r>
        <w:rPr>
          <w:rFonts w:hint="eastAsia" w:cs="宋体" w:asciiTheme="minorEastAsia" w:hAnsiTheme="minorEastAsia" w:eastAsiaTheme="minorEastAsia"/>
          <w:bCs/>
          <w:iCs/>
          <w:color w:val="000000"/>
          <w:szCs w:val="21"/>
        </w:rPr>
        <w:t>理财资产规模过大，使产品管理人无法找到合适的投资品种，或其他可能对理财业绩产生负面影响，从而损害现有理财产品投资者权益的情形。</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7）</w:t>
      </w:r>
      <w:r>
        <w:rPr>
          <w:rFonts w:hint="eastAsia" w:cs="宋体" w:asciiTheme="minorEastAsia" w:hAnsiTheme="minorEastAsia" w:eastAsiaTheme="minorEastAsia"/>
          <w:bCs/>
          <w:iCs/>
          <w:color w:val="000000"/>
          <w:szCs w:val="21"/>
        </w:rPr>
        <w:t>接受该笔申购申请会导致超过产品规模上限或投资者购买金额超过单</w:t>
      </w:r>
      <w:r>
        <w:rPr>
          <w:rFonts w:hint="eastAsia" w:asciiTheme="minorEastAsia" w:hAnsiTheme="minorEastAsia" w:eastAsiaTheme="minorEastAsia"/>
          <w:color w:val="000000" w:themeColor="text1"/>
          <w:szCs w:val="21"/>
          <w14:textFill>
            <w14:solidFill>
              <w14:schemeClr w14:val="tx1"/>
            </w14:solidFill>
          </w14:textFill>
        </w:rPr>
        <w:t>一投资者</w:t>
      </w:r>
      <w:r>
        <w:rPr>
          <w:rFonts w:hint="eastAsia" w:cs="宋体" w:asciiTheme="minorEastAsia" w:hAnsiTheme="minorEastAsia" w:eastAsiaTheme="minorEastAsia"/>
          <w:bCs/>
          <w:iCs/>
          <w:color w:val="000000"/>
          <w:szCs w:val="21"/>
        </w:rPr>
        <w:t>持有上限或单笔申购上限、单日净申购比例上限等。</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8</w:t>
      </w:r>
      <w:r>
        <w:rPr>
          <w:rFonts w:hint="eastAsia" w:cs="宋体" w:asciiTheme="minorEastAsia" w:hAnsiTheme="minorEastAsia" w:eastAsiaTheme="minorEastAsia"/>
          <w:bCs/>
          <w:iCs/>
          <w:color w:val="000000"/>
          <w:szCs w:val="21"/>
        </w:rPr>
        <w:t>）管理人接受某笔或者某些申购申请有可能导致单一投资者持有理财产品份额的比例达到或者超过50%的情形。</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9</w:t>
      </w:r>
      <w:r>
        <w:rPr>
          <w:rFonts w:hint="eastAsia" w:cs="宋体" w:asciiTheme="minorEastAsia" w:hAnsiTheme="minorEastAsia" w:eastAsiaTheme="minorEastAsia"/>
          <w:bCs/>
          <w:iCs/>
          <w:color w:val="000000"/>
          <w:szCs w:val="21"/>
        </w:rPr>
        <w:t>）当前一估值日产品资产净值50%以上的资产不具备活跃交易市场或者在活跃市场中无报价，且不能采用估值技术可靠计量公允价值的，管理人经与托管人协商确认后，决定暂停接受理财产品申购申请的。</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10</w:t>
      </w:r>
      <w:r>
        <w:rPr>
          <w:rFonts w:hint="eastAsia" w:cs="宋体" w:asciiTheme="minorEastAsia" w:hAnsiTheme="minorEastAsia" w:eastAsiaTheme="minorEastAsia"/>
          <w:bCs/>
          <w:iCs/>
          <w:color w:val="000000"/>
          <w:szCs w:val="21"/>
        </w:rPr>
        <w:t>）影子定价确定的产品资产净值与摊余成本法计算的资产净值正偏离度绝对值达到0.5%。</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11</w:t>
      </w:r>
      <w:r>
        <w:rPr>
          <w:rFonts w:hint="eastAsia" w:cs="宋体" w:asciiTheme="minorEastAsia" w:hAnsiTheme="minorEastAsia" w:eastAsiaTheme="minorEastAsia"/>
          <w:bCs/>
          <w:iCs/>
          <w:color w:val="000000"/>
          <w:szCs w:val="21"/>
        </w:rPr>
        <w:t>）管理人和托管人的技术保障等异常情况导致理财销售系统或会计系统无法正常运行。</w:t>
      </w:r>
    </w:p>
    <w:p>
      <w:pPr>
        <w:pStyle w:val="29"/>
        <w:spacing w:line="360" w:lineRule="auto"/>
        <w:ind w:left="426" w:firstLine="0" w:firstLineChars="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12）</w:t>
      </w:r>
      <w:r>
        <w:rPr>
          <w:rFonts w:hint="eastAsia" w:cs="宋体" w:asciiTheme="minorEastAsia" w:hAnsiTheme="minorEastAsia" w:eastAsiaTheme="minorEastAsia"/>
          <w:bCs/>
          <w:iCs/>
          <w:color w:val="000000"/>
          <w:szCs w:val="21"/>
        </w:rPr>
        <w:t>法律法规或监管机构认定的其他情形。</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如果投资</w:t>
      </w:r>
      <w:r>
        <w:rPr>
          <w:rFonts w:hint="eastAsia" w:cs="宋体" w:asciiTheme="minorEastAsia" w:hAnsiTheme="minorEastAsia" w:eastAsiaTheme="minorEastAsia"/>
          <w:bCs/>
          <w:iCs/>
          <w:color w:val="000000"/>
          <w:szCs w:val="21"/>
        </w:rPr>
        <w:t>者</w:t>
      </w:r>
      <w:r>
        <w:rPr>
          <w:rFonts w:cs="宋体" w:asciiTheme="minorEastAsia" w:hAnsiTheme="minorEastAsia" w:eastAsiaTheme="minorEastAsia"/>
          <w:bCs/>
          <w:iCs/>
          <w:color w:val="000000"/>
          <w:szCs w:val="21"/>
        </w:rPr>
        <w:t>的申购申请被拒绝，被拒绝的申购款项将退还给投资</w:t>
      </w:r>
      <w:r>
        <w:rPr>
          <w:rFonts w:hint="eastAsia" w:cs="宋体" w:asciiTheme="minorEastAsia" w:hAnsiTheme="minorEastAsia" w:eastAsiaTheme="minorEastAsia"/>
          <w:bCs/>
          <w:iCs/>
          <w:color w:val="000000"/>
          <w:szCs w:val="21"/>
        </w:rPr>
        <w:t>者</w:t>
      </w:r>
      <w:r>
        <w:rPr>
          <w:rFonts w:cs="宋体" w:asciiTheme="minorEastAsia" w:hAnsiTheme="minorEastAsia" w:eastAsiaTheme="minorEastAsia"/>
          <w:bCs/>
          <w:iCs/>
          <w:color w:val="000000"/>
          <w:szCs w:val="21"/>
        </w:rPr>
        <w:t>。在暂停申购的情况消除时，产品管理人应及时恢复申购业务的办理。</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（四）理财产品的赎回</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1.赎回的方式</w:t>
      </w:r>
    </w:p>
    <w:p>
      <w:pPr>
        <w:spacing w:line="360" w:lineRule="auto"/>
        <w:ind w:firstLine="408" w:firstLineChars="200"/>
        <w:rPr>
          <w:rFonts w:cs="宋体" w:asciiTheme="minorEastAsia" w:hAnsiTheme="minorEastAsia" w:eastAsiaTheme="minorEastAsia"/>
          <w:bCs/>
          <w:iCs/>
          <w:color w:val="000000"/>
          <w:szCs w:val="21"/>
        </w:rPr>
      </w:pPr>
      <w:r>
        <w:rPr>
          <w:rFonts w:asciiTheme="minorEastAsia" w:hAnsiTheme="minorEastAsia" w:eastAsiaTheme="minorEastAsia"/>
          <w:spacing w:val="-3"/>
          <w:szCs w:val="21"/>
        </w:rPr>
        <w:t>投资者可通过销售机构</w:t>
      </w:r>
      <w:r>
        <w:rPr>
          <w:rFonts w:hint="eastAsia" w:asciiTheme="minorEastAsia" w:hAnsiTheme="minorEastAsia" w:eastAsiaTheme="minorEastAsia"/>
          <w:spacing w:val="-3"/>
          <w:szCs w:val="21"/>
        </w:rPr>
        <w:t>指定</w:t>
      </w:r>
      <w:r>
        <w:rPr>
          <w:rFonts w:asciiTheme="minorEastAsia" w:hAnsiTheme="minorEastAsia" w:eastAsiaTheme="minorEastAsia"/>
          <w:spacing w:val="-3"/>
          <w:szCs w:val="21"/>
        </w:rPr>
        <w:t>销售渠道进行</w:t>
      </w:r>
      <w:r>
        <w:rPr>
          <w:rFonts w:hint="eastAsia" w:asciiTheme="minorEastAsia" w:hAnsiTheme="minorEastAsia" w:eastAsiaTheme="minorEastAsia"/>
          <w:spacing w:val="-3"/>
          <w:szCs w:val="21"/>
        </w:rPr>
        <w:t>赎回</w:t>
      </w:r>
      <w:r>
        <w:rPr>
          <w:rFonts w:asciiTheme="minorEastAsia" w:hAnsiTheme="minorEastAsia" w:eastAsiaTheme="minorEastAsia"/>
          <w:spacing w:val="-3"/>
          <w:szCs w:val="21"/>
        </w:rPr>
        <w:t>，具体根据销售机构各渠道的要求执行</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2.赎回的确认</w:t>
      </w:r>
    </w:p>
    <w:p>
      <w:pPr>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1）产品管理人在赎回确认日对投资者的赎回申请的有效性进行确认，投资者自赎回确认日起不再享有本产品的分配权益，赎回金额以管理人确认信息为准。投资者赎回申请生效后，产品管理人将及时向投资者支付赎回款，具体支付时间安排详见</w:t>
      </w:r>
      <w:r>
        <w:rPr>
          <w:rFonts w:hint="eastAsia" w:asciiTheme="minorEastAsia" w:hAnsiTheme="minorEastAsia" w:eastAsiaTheme="minorEastAsia"/>
          <w:szCs w:val="21"/>
        </w:rPr>
        <w:t>本《产品说明书》“二、产品概述”</w:t>
      </w:r>
      <w:r>
        <w:rPr>
          <w:rFonts w:hint="eastAsia" w:asciiTheme="minorEastAsia" w:hAnsiTheme="minorEastAsia" w:eastAsiaTheme="minorEastAsia"/>
          <w:spacing w:val="-3"/>
          <w:szCs w:val="21"/>
        </w:rPr>
        <w:t>。</w:t>
      </w:r>
    </w:p>
    <w:p>
      <w:pPr>
        <w:spacing w:line="360" w:lineRule="auto"/>
        <w:ind w:firstLine="408" w:firstLineChars="200"/>
        <w:rPr>
          <w:rFonts w:asciiTheme="minorEastAsia" w:hAnsiTheme="minorEastAsia" w:eastAsiaTheme="minorEastAsia"/>
          <w:spacing w:val="-3"/>
          <w:szCs w:val="21"/>
        </w:rPr>
      </w:pPr>
      <w:r>
        <w:rPr>
          <w:rFonts w:hint="eastAsia" w:asciiTheme="minorEastAsia" w:hAnsiTheme="minorEastAsia" w:eastAsiaTheme="minorEastAsia"/>
          <w:spacing w:val="-3"/>
          <w:szCs w:val="21"/>
        </w:rPr>
        <w:t>销售机构受理赎回申请并不表示对该申请成功的确认，而仅代表其收到了赎回申请，申请是否成功应以管理人的确认为准。</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（2）对于投资者提出的赎回申请，管理人将按照如下方式确认赎回申请</w:t>
      </w:r>
      <w:r>
        <w:rPr>
          <w:rFonts w:hint="eastAsia" w:cs="宋体" w:asciiTheme="minorEastAsia" w:hAnsiTheme="minorEastAsia" w:eastAsiaTheme="minorEastAsia"/>
          <w:color w:val="000000" w:themeColor="text1"/>
          <w:szCs w:val="21"/>
          <w14:textFill>
            <w14:solidFill>
              <w14:schemeClr w14:val="tx1"/>
            </w14:solidFill>
          </w14:textFill>
        </w:rPr>
        <w:t>（具体交易规则以销售机构为准）</w:t>
      </w:r>
      <w:r>
        <w:rPr>
          <w:rFonts w:hint="eastAsia" w:cs="宋体" w:asciiTheme="minorEastAsia" w:hAnsiTheme="minorEastAsia" w:eastAsiaTheme="minorEastAsia"/>
          <w:bCs/>
          <w:iCs/>
          <w:color w:val="000000"/>
          <w:szCs w:val="21"/>
        </w:rPr>
        <w:t>：</w:t>
      </w:r>
    </w:p>
    <w:tbl>
      <w:tblPr>
        <w:tblStyle w:val="1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411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360" w:lineRule="auto"/>
              <w:jc w:val="center"/>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赎回申请时间</w:t>
            </w:r>
          </w:p>
        </w:tc>
        <w:tc>
          <w:tcPr>
            <w:tcW w:w="4110" w:type="dxa"/>
          </w:tcPr>
          <w:p>
            <w:pPr>
              <w:spacing w:line="360" w:lineRule="auto"/>
              <w:jc w:val="center"/>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赎回确认方式</w:t>
            </w:r>
          </w:p>
        </w:tc>
        <w:tc>
          <w:tcPr>
            <w:tcW w:w="1560" w:type="dxa"/>
          </w:tcPr>
          <w:p>
            <w:pPr>
              <w:spacing w:line="360" w:lineRule="auto"/>
              <w:jc w:val="center"/>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T日00:00-17:00</w:t>
            </w:r>
            <w:r>
              <w:rPr>
                <w:rFonts w:hint="eastAsia" w:cs="宋体" w:asciiTheme="minorEastAsia" w:hAnsiTheme="minorEastAsia" w:eastAsiaTheme="minorEastAsia"/>
                <w:bCs/>
                <w:iCs/>
                <w:color w:val="000000"/>
                <w:szCs w:val="21"/>
              </w:rPr>
              <w:t>（不含）</w:t>
            </w:r>
          </w:p>
          <w:p>
            <w:pPr>
              <w:spacing w:line="360" w:lineRule="auto"/>
              <w:jc w:val="center"/>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T为工作日）</w:t>
            </w:r>
          </w:p>
        </w:tc>
        <w:tc>
          <w:tcPr>
            <w:tcW w:w="4110" w:type="dxa"/>
          </w:tcPr>
          <w:p>
            <w:pPr>
              <w:spacing w:line="360" w:lineRule="auto"/>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管理人将视为</w:t>
            </w:r>
            <w:r>
              <w:rPr>
                <w:rFonts w:cs="宋体" w:asciiTheme="minorEastAsia" w:hAnsiTheme="minorEastAsia" w:eastAsiaTheme="minorEastAsia"/>
                <w:bCs/>
                <w:iCs/>
                <w:color w:val="000000"/>
                <w:szCs w:val="21"/>
              </w:rPr>
              <w:t>T日当日的赎回申请，管理人在T日后第1个工作日对投资者赎回申请进行确认。</w:t>
            </w:r>
          </w:p>
        </w:tc>
        <w:tc>
          <w:tcPr>
            <w:tcW w:w="1560"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T+1</w:t>
            </w:r>
            <w:r>
              <w:rPr>
                <w:rFonts w:hint="eastAsia" w:cs="宋体" w:asciiTheme="minorEastAsia" w:hAnsiTheme="minorEastAsia" w:eastAsiaTheme="minorEastAsia"/>
                <w:bCs/>
                <w:iCs/>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T日17:00-24:00（不含）</w:t>
            </w:r>
          </w:p>
          <w:p>
            <w:pPr>
              <w:spacing w:line="360" w:lineRule="auto"/>
              <w:jc w:val="center"/>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T为工作日）</w:t>
            </w:r>
          </w:p>
        </w:tc>
        <w:tc>
          <w:tcPr>
            <w:tcW w:w="4110" w:type="dxa"/>
          </w:tcPr>
          <w:p>
            <w:pPr>
              <w:spacing w:line="360" w:lineRule="auto"/>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管理人将视为</w:t>
            </w:r>
            <w:r>
              <w:rPr>
                <w:rFonts w:cs="宋体" w:asciiTheme="minorEastAsia" w:hAnsiTheme="minorEastAsia" w:eastAsiaTheme="minorEastAsia"/>
                <w:bCs/>
                <w:iCs/>
                <w:color w:val="000000"/>
                <w:szCs w:val="21"/>
              </w:rPr>
              <w:t>T日后第1个工作日的赎回申请，管理人在T日后第2个工作日对投资者赎回申请进行确认。</w:t>
            </w:r>
          </w:p>
        </w:tc>
        <w:tc>
          <w:tcPr>
            <w:tcW w:w="1560"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T+2</w:t>
            </w:r>
            <w:r>
              <w:rPr>
                <w:rFonts w:hint="eastAsia" w:cs="宋体" w:asciiTheme="minorEastAsia" w:hAnsiTheme="minorEastAsia" w:eastAsiaTheme="minorEastAsia"/>
                <w:bCs/>
                <w:iCs/>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89"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T日00:00-24:00</w:t>
            </w:r>
            <w:r>
              <w:rPr>
                <w:rFonts w:hint="eastAsia" w:cs="宋体" w:asciiTheme="minorEastAsia" w:hAnsiTheme="minorEastAsia" w:eastAsiaTheme="minorEastAsia"/>
                <w:bCs/>
                <w:iCs/>
                <w:color w:val="000000"/>
                <w:szCs w:val="21"/>
              </w:rPr>
              <w:t>（不含</w:t>
            </w:r>
            <w:r>
              <w:rPr>
                <w:rFonts w:cs="宋体" w:asciiTheme="minorEastAsia" w:hAnsiTheme="minorEastAsia" w:eastAsiaTheme="minorEastAsia"/>
                <w:bCs/>
                <w:iCs/>
                <w:color w:val="000000"/>
                <w:szCs w:val="21"/>
              </w:rPr>
              <w:t>）</w:t>
            </w:r>
          </w:p>
          <w:p>
            <w:pPr>
              <w:spacing w:line="360" w:lineRule="auto"/>
              <w:jc w:val="center"/>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T为非工作日）</w:t>
            </w:r>
          </w:p>
        </w:tc>
        <w:tc>
          <w:tcPr>
            <w:tcW w:w="4110" w:type="dxa"/>
          </w:tcPr>
          <w:p>
            <w:pPr>
              <w:spacing w:line="360" w:lineRule="auto"/>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管理人将视为</w:t>
            </w:r>
            <w:r>
              <w:rPr>
                <w:rFonts w:cs="宋体" w:asciiTheme="minorEastAsia" w:hAnsiTheme="minorEastAsia" w:eastAsiaTheme="minorEastAsia"/>
                <w:bCs/>
                <w:iCs/>
                <w:color w:val="000000"/>
                <w:szCs w:val="21"/>
              </w:rPr>
              <w:t>T日后第1个工作日的赎回申请，管理人在T日后第2个工作日对投资者赎回申请进行确认。</w:t>
            </w:r>
          </w:p>
        </w:tc>
        <w:tc>
          <w:tcPr>
            <w:tcW w:w="1560" w:type="dxa"/>
          </w:tcPr>
          <w:p>
            <w:pPr>
              <w:spacing w:line="360" w:lineRule="auto"/>
              <w:jc w:val="center"/>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T+2</w:t>
            </w:r>
            <w:r>
              <w:rPr>
                <w:rFonts w:hint="eastAsia" w:cs="宋体" w:asciiTheme="minorEastAsia" w:hAnsiTheme="minorEastAsia" w:eastAsiaTheme="minorEastAsia"/>
                <w:bCs/>
                <w:iCs/>
                <w:color w:val="000000"/>
                <w:szCs w:val="21"/>
              </w:rPr>
              <w:t>日</w:t>
            </w:r>
          </w:p>
        </w:tc>
      </w:tr>
    </w:tbl>
    <w:p>
      <w:pPr>
        <w:spacing w:before="120" w:beforeLines="50"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3.赎回的费用</w:t>
      </w:r>
      <w:r>
        <w:rPr>
          <w:rFonts w:hint="eastAsia" w:cs="宋体" w:asciiTheme="minorEastAsia" w:hAnsiTheme="minorEastAsia" w:eastAsiaTheme="minorEastAsia"/>
          <w:bCs/>
          <w:iCs/>
          <w:color w:val="000000"/>
          <w:szCs w:val="21"/>
        </w:rPr>
        <w:t>和份额计算</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1）赎回费的</w:t>
      </w:r>
      <w:r>
        <w:rPr>
          <w:rFonts w:hint="eastAsia" w:cs="宋体" w:asciiTheme="minorEastAsia" w:hAnsiTheme="minorEastAsia" w:eastAsiaTheme="minorEastAsia"/>
          <w:bCs/>
          <w:iCs/>
          <w:color w:val="000000"/>
          <w:szCs w:val="21"/>
        </w:rPr>
        <w:t>收取方式：在投资者赎回份额时，由销售机构收取。</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2）赎回</w:t>
      </w:r>
      <w:r>
        <w:rPr>
          <w:rFonts w:hint="eastAsia" w:cs="宋体" w:asciiTheme="minorEastAsia" w:hAnsiTheme="minorEastAsia" w:eastAsiaTheme="minorEastAsia"/>
          <w:bCs/>
          <w:iCs/>
          <w:color w:val="000000"/>
          <w:szCs w:val="21"/>
        </w:rPr>
        <w:t>费的收费标准：具体费率详见本《产品说明书》“二、产品概述”</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赎回金额的计算</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本产品赎回</w:t>
      </w:r>
      <w:r>
        <w:rPr>
          <w:rFonts w:hint="eastAsia" w:cs="宋体" w:asciiTheme="minorEastAsia" w:hAnsiTheme="minorEastAsia" w:eastAsiaTheme="minorEastAsia"/>
          <w:bCs/>
          <w:iCs/>
          <w:color w:val="000000"/>
          <w:szCs w:val="21"/>
        </w:rPr>
        <w:t>金额</w:t>
      </w:r>
      <w:r>
        <w:rPr>
          <w:rFonts w:cs="宋体" w:asciiTheme="minorEastAsia" w:hAnsiTheme="minorEastAsia" w:eastAsiaTheme="minorEastAsia"/>
          <w:bCs/>
          <w:iCs/>
          <w:color w:val="000000"/>
          <w:szCs w:val="21"/>
        </w:rPr>
        <w:t>的计算公式如下：</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赎回金额=赎回份额×</w:t>
      </w:r>
      <w:r>
        <w:rPr>
          <w:rFonts w:hint="eastAsia" w:cs="宋体" w:asciiTheme="minorEastAsia" w:hAnsiTheme="minorEastAsia" w:eastAsiaTheme="minorEastAsia"/>
          <w:bCs/>
          <w:iCs/>
          <w:color w:val="000000"/>
          <w:szCs w:val="21"/>
        </w:rPr>
        <w:t>赎回价格</w:t>
      </w:r>
      <w:r>
        <w:rPr>
          <w:rFonts w:cs="宋体" w:asciiTheme="minorEastAsia" w:hAnsiTheme="minorEastAsia" w:eastAsiaTheme="minorEastAsia"/>
          <w:bCs/>
          <w:iCs/>
          <w:color w:val="000000"/>
          <w:szCs w:val="21"/>
        </w:rPr>
        <w:t>-赎回费</w:t>
      </w:r>
      <w:r>
        <w:rPr>
          <w:rFonts w:hint="eastAsia" w:cs="宋体" w:asciiTheme="minorEastAsia" w:hAnsiTheme="minorEastAsia" w:eastAsiaTheme="minorEastAsia"/>
          <w:bCs/>
          <w:iCs/>
          <w:color w:val="000000"/>
          <w:szCs w:val="21"/>
        </w:rPr>
        <w:t>（如有）（四舍五入保留至小数点后两位）</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赎回价格详见本</w:t>
      </w:r>
      <w:r>
        <w:rPr>
          <w:rFonts w:cs="宋体" w:asciiTheme="minorEastAsia" w:hAnsiTheme="minorEastAsia" w:eastAsiaTheme="minorEastAsia"/>
          <w:bCs/>
          <w:iCs/>
          <w:color w:val="000000"/>
          <w:szCs w:val="21"/>
        </w:rPr>
        <w:t>《产品说明书》</w:t>
      </w:r>
      <w:r>
        <w:rPr>
          <w:rFonts w:hint="eastAsia" w:cs="宋体" w:asciiTheme="minorEastAsia" w:hAnsiTheme="minorEastAsia" w:eastAsiaTheme="minorEastAsia"/>
          <w:bCs/>
          <w:iCs/>
          <w:color w:val="000000"/>
          <w:szCs w:val="21"/>
        </w:rPr>
        <w:t>“二、产品概述”。</w:t>
      </w:r>
    </w:p>
    <w:p>
      <w:pPr>
        <w:spacing w:line="360" w:lineRule="auto"/>
        <w:ind w:firstLine="420"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Cs/>
          <w:iCs/>
          <w:color w:val="000000"/>
          <w:szCs w:val="21"/>
        </w:rPr>
        <w:t>（4）</w:t>
      </w:r>
      <w:r>
        <w:rPr>
          <w:rFonts w:hint="eastAsia" w:asciiTheme="minorEastAsia" w:hAnsiTheme="minorEastAsia" w:eastAsiaTheme="minorEastAsia"/>
          <w:b/>
          <w:szCs w:val="21"/>
        </w:rPr>
        <w:t>★</w:t>
      </w:r>
      <w:r>
        <w:rPr>
          <w:rFonts w:hint="eastAsia" w:cs="宋体" w:asciiTheme="minorEastAsia" w:hAnsiTheme="minorEastAsia" w:eastAsiaTheme="minorEastAsia"/>
          <w:b/>
          <w:bCs/>
          <w:iCs/>
          <w:color w:val="000000"/>
          <w:szCs w:val="21"/>
        </w:rPr>
        <w:t>发生以下特殊情形时，管理人将收取强制赎回费：</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1）如本产品前10名投资者的持有份额合计超过该产品总份额50%的，当投资组合中现金、国债、中央银行票据、政策性金融债券以及5个交易日内到期的其他金融工具占该产品资产净值的比例合计低于10%且偏离度为负时，管理人将对投资者超过该产品总份额1%以上的赎回申请征收1%的强制赎回费用。上述赎回费用全额计入本产品财产。</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2）当本产品持有的现金、国债、中央银行票据、政策性金融债券以及5个交易日内到期的其他金融工具占本产品资产净值的比例合计低于5%且偏离度为负时，管理人将对当日投资者申请赎回份额超过本产品总份额1%以上的赎回申请征收1%的强制赎回费用，上述赎回费用全额计入本产品财产。但管理人与托管人协商确认上述做法无益于本产品利益最大化的情形除外。</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法律法规或监管机构另有规定的，从其规定。</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4.</w:t>
      </w:r>
      <w:r>
        <w:rPr>
          <w:rFonts w:hint="eastAsia" w:cs="宋体" w:asciiTheme="minorEastAsia" w:hAnsiTheme="minorEastAsia" w:eastAsiaTheme="minorEastAsia"/>
          <w:bCs/>
          <w:iCs/>
          <w:color w:val="000000"/>
          <w:szCs w:val="21"/>
        </w:rPr>
        <w:t>赎回的数量限制</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1）投资者可全部</w:t>
      </w:r>
      <w:r>
        <w:rPr>
          <w:rFonts w:hint="eastAsia" w:cs="宋体" w:asciiTheme="minorEastAsia" w:hAnsiTheme="minorEastAsia" w:eastAsiaTheme="minorEastAsia"/>
          <w:bCs/>
          <w:iCs/>
          <w:color w:val="000000"/>
          <w:szCs w:val="21"/>
        </w:rPr>
        <w:t>或部分</w:t>
      </w:r>
      <w:r>
        <w:rPr>
          <w:rFonts w:cs="宋体" w:asciiTheme="minorEastAsia" w:hAnsiTheme="minorEastAsia" w:eastAsiaTheme="minorEastAsia"/>
          <w:bCs/>
          <w:iCs/>
          <w:color w:val="000000"/>
          <w:szCs w:val="21"/>
        </w:rPr>
        <w:t>赎回其理财</w:t>
      </w:r>
      <w:r>
        <w:rPr>
          <w:rFonts w:hint="eastAsia" w:cs="宋体" w:asciiTheme="minorEastAsia" w:hAnsiTheme="minorEastAsia" w:eastAsiaTheme="minorEastAsia"/>
          <w:bCs/>
          <w:iCs/>
          <w:color w:val="000000"/>
          <w:szCs w:val="21"/>
        </w:rPr>
        <w:t>产品</w:t>
      </w:r>
      <w:r>
        <w:rPr>
          <w:rFonts w:cs="宋体" w:asciiTheme="minorEastAsia" w:hAnsiTheme="minorEastAsia" w:eastAsiaTheme="minorEastAsia"/>
          <w:bCs/>
          <w:iCs/>
          <w:color w:val="000000"/>
          <w:szCs w:val="21"/>
        </w:rPr>
        <w:t>份额</w:t>
      </w:r>
      <w:r>
        <w:rPr>
          <w:rFonts w:hint="eastAsia" w:cs="宋体" w:asciiTheme="minorEastAsia" w:hAnsiTheme="minorEastAsia" w:eastAsiaTheme="minorEastAsia"/>
          <w:bCs/>
          <w:iCs/>
          <w:color w:val="000000"/>
          <w:szCs w:val="21"/>
        </w:rPr>
        <w:t>，但赎回后投资者持有的产品份额不得低于最低持有份额，否则应一次性赎回全部份额</w:t>
      </w:r>
      <w:r>
        <w:rPr>
          <w:rFonts w:cs="宋体" w:asciiTheme="minorEastAsia" w:hAnsiTheme="minorEastAsia" w:eastAsiaTheme="minorEastAsia"/>
          <w:bCs/>
          <w:iCs/>
          <w:color w:val="000000"/>
          <w:szCs w:val="21"/>
        </w:rPr>
        <w:t>。</w:t>
      </w:r>
    </w:p>
    <w:p>
      <w:pPr>
        <w:spacing w:line="360" w:lineRule="auto"/>
        <w:ind w:firstLine="420" w:firstLineChars="200"/>
        <w:rPr>
          <w:rFonts w:asciiTheme="minorEastAsia" w:hAnsiTheme="minorEastAsia" w:eastAsiaTheme="minorEastAsia"/>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巨额赎回情景发生时，投资者的可赎回份额需要根据巨额赎回规则确定。</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5</w:t>
      </w:r>
      <w:r>
        <w:rPr>
          <w:rFonts w:cs="宋体" w:asciiTheme="minorEastAsia" w:hAnsiTheme="minorEastAsia" w:eastAsiaTheme="minorEastAsia"/>
          <w:bCs/>
          <w:iCs/>
          <w:color w:val="000000"/>
          <w:szCs w:val="21"/>
        </w:rPr>
        <w:t>.</w:t>
      </w:r>
      <w:r>
        <w:rPr>
          <w:rFonts w:hint="eastAsia" w:cs="宋体" w:asciiTheme="minorEastAsia" w:hAnsiTheme="minorEastAsia" w:eastAsiaTheme="minorEastAsia"/>
          <w:bCs/>
          <w:iCs/>
          <w:color w:val="000000"/>
          <w:szCs w:val="21"/>
        </w:rPr>
        <w:t>巨额赎回的情形及处理方式</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（1）巨额赎回的认定</w:t>
      </w:r>
    </w:p>
    <w:p>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如本产品单个开放日净赎回申请（赎回申请份额总数扣除申购申请份额总数）超过前一工作日日终理财产品总份额的10%，则发生巨额赎回事件。</w:t>
      </w:r>
    </w:p>
    <w:p>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（2）巨额赎回的处理方式</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在巨额赎回情况下，管理人有权依照本产品当时的资产组合状况选择全额赎回、部分赎回或延缓支付赎回款项。</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）全额赎回：当管理人有能力支付投资者的全部赎回申请时，按正常赎回流程办理。</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2）部分赎回：当管理人认为支付投资者的赎回款项有困难或认为因支付投资者的赎回款项而进行的资产变现可能会对理财产品资产净值造成较大波动等情形时，在当日接受赎回比例不低于前一工作日日终理财产品总份额的10%的前提下，管理人有权暂停接受超过【</w:t>
      </w:r>
      <w:r>
        <w:rPr>
          <w:rFonts w:cs="宋体" w:asciiTheme="minorEastAsia" w:hAnsiTheme="minorEastAsia" w:eastAsiaTheme="minorEastAsia"/>
          <w:bCs/>
          <w:iCs/>
          <w:color w:val="000000"/>
          <w:szCs w:val="21"/>
        </w:rPr>
        <w:t>10%</w:t>
      </w:r>
      <w:r>
        <w:rPr>
          <w:rFonts w:hint="eastAsia" w:cs="宋体" w:asciiTheme="minorEastAsia" w:hAnsiTheme="minorEastAsia" w:eastAsiaTheme="minorEastAsia"/>
          <w:bCs/>
          <w:iCs/>
          <w:color w:val="000000"/>
          <w:szCs w:val="21"/>
        </w:rPr>
        <w:t>】以上部分的赎回申请，则超过本产品上一开放日存续总份额的【</w:t>
      </w:r>
      <w:r>
        <w:rPr>
          <w:rFonts w:cs="宋体" w:asciiTheme="minorEastAsia" w:hAnsiTheme="minorEastAsia" w:eastAsiaTheme="minorEastAsia"/>
          <w:bCs/>
          <w:iCs/>
          <w:color w:val="000000"/>
          <w:szCs w:val="21"/>
        </w:rPr>
        <w:t>10%</w:t>
      </w:r>
      <w:r>
        <w:rPr>
          <w:rFonts w:hint="eastAsia" w:cs="宋体" w:asciiTheme="minorEastAsia" w:hAnsiTheme="minorEastAsia" w:eastAsiaTheme="minorEastAsia"/>
          <w:bCs/>
          <w:iCs/>
          <w:color w:val="000000"/>
          <w:szCs w:val="21"/>
        </w:rPr>
        <w:t>】以上部分的投资者当日赎回指令失效，投资者需在下一赎回开放日正常赎回交易时间内重新提交赎回申请；或对超过</w:t>
      </w:r>
      <w:r>
        <w:rPr>
          <w:rFonts w:cs="宋体" w:asciiTheme="minorEastAsia" w:hAnsiTheme="minorEastAsia" w:eastAsiaTheme="minorEastAsia"/>
          <w:bCs/>
          <w:iCs/>
          <w:color w:val="000000"/>
          <w:szCs w:val="21"/>
        </w:rPr>
        <w:t>10%以上部分的赎回申请延期办理。若管理人对于超过10%以上部分的赎回申请选择延期办理，管理人有权于开放日按照投资者赎回递交申请的顺序，依照时间优先（即先申请、先赎回）的原则确认当日受理的赎回申请。对单个投资者的赎回申请，可以按照其当日申请赎回份额占当日申请赎回总份额的比例，确定该投资者当日办理的赎回份额。</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若管理人对于超过</w:t>
      </w:r>
      <w:r>
        <w:rPr>
          <w:rFonts w:cs="宋体" w:asciiTheme="minorEastAsia" w:hAnsiTheme="minorEastAsia" w:eastAsiaTheme="minorEastAsia"/>
          <w:bCs/>
          <w:iCs/>
          <w:color w:val="000000"/>
          <w:szCs w:val="21"/>
        </w:rPr>
        <w:t>10%以上部分的赎回申请选择延期办理，对于未能赎回部分，投资者</w:t>
      </w:r>
      <w:r>
        <w:rPr>
          <w:rFonts w:hint="eastAsia" w:cs="宋体" w:asciiTheme="minorEastAsia" w:hAnsiTheme="minorEastAsia" w:eastAsiaTheme="minorEastAsia"/>
          <w:bCs/>
          <w:iCs/>
          <w:color w:val="000000"/>
          <w:szCs w:val="21"/>
        </w:rPr>
        <w:t>可选择将当日未获办理的赎回申请予以撤销。投资者未选择撤销的，管理人有权延期至下一个开放日办理，赎回价格为下一个开放日的价格，顺延至下一开放日的赎回申请不享有优先确认权。</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3）连续巨额赎回</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若理财产品连续2个开放日(含)及以上发生巨额赎回，管理人除有权选择全额赎回或部分赎回等措施外，对于已经接受的赎回申请，管理人有权延缓支付赎回款项，但延缓支付期限不得超过20个工作日。</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4）当发生巨额赎回或连续巨额赎回，管理人选择延期办理巨额赎回申请、暂停接受赎回申请或延缓支付赎回款项时，管理人将根据本理财产品说明书约定的信息披露方式向投资者进行信息披露。</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）示例</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如果某开放式公募理财产品在赎回开放日的上一工作日日终的总存续份额为10亿份，在赎回开放日投资者净赎回份额大于1亿份，管理人有权选择接受全部赎回申请或在当日接受赎回申请不低于</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6.</w:t>
      </w:r>
      <w:r>
        <w:rPr>
          <w:rFonts w:hint="eastAsia" w:cs="宋体" w:asciiTheme="minorEastAsia" w:hAnsiTheme="minorEastAsia" w:eastAsiaTheme="minorEastAsia"/>
          <w:bCs/>
          <w:iCs/>
          <w:color w:val="000000"/>
          <w:szCs w:val="21"/>
        </w:rPr>
        <w:t>暂停赎回或延缓支付赎回款项的情形</w:t>
      </w:r>
    </w:p>
    <w:p>
      <w:pPr>
        <w:spacing w:line="360" w:lineRule="auto"/>
        <w:ind w:firstLine="421" w:firstLineChars="200"/>
        <w:rPr>
          <w:rFonts w:cs="宋体" w:asciiTheme="minorEastAsia" w:hAnsiTheme="minorEastAsia" w:eastAsiaTheme="minorEastAsia"/>
          <w:b/>
          <w:bCs/>
          <w:iCs/>
          <w:color w:val="000000"/>
          <w:szCs w:val="21"/>
        </w:rPr>
      </w:pPr>
      <w:r>
        <w:rPr>
          <w:rFonts w:hint="eastAsia" w:asciiTheme="minorEastAsia" w:hAnsiTheme="minorEastAsia" w:eastAsiaTheme="minorEastAsia"/>
          <w:b/>
          <w:szCs w:val="21"/>
        </w:rPr>
        <w:t>★</w:t>
      </w:r>
      <w:r>
        <w:rPr>
          <w:rFonts w:cs="宋体" w:asciiTheme="minorEastAsia" w:hAnsiTheme="minorEastAsia" w:eastAsiaTheme="minorEastAsia"/>
          <w:b/>
          <w:bCs/>
          <w:iCs/>
          <w:color w:val="000000"/>
          <w:szCs w:val="21"/>
        </w:rPr>
        <w:t xml:space="preserve">发生下列情形时，产品管理人可暂停接受投资者的赎回申请或延缓支付赎回款项： </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因不可抗力导致产品管理人不能支付赎回款项。</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发生暂停理财资产估值情况时，产品管理人可暂停接受投资者的赎回申请或延缓支付赎回款项。</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证券交易所或银行间市场在交易时间非正常停市，导致产品管理人无法计算当日理财产品资产净值。</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4）</w:t>
      </w:r>
      <w:r>
        <w:rPr>
          <w:rFonts w:hint="eastAsia" w:cs="宋体" w:asciiTheme="minorEastAsia" w:hAnsiTheme="minorEastAsia" w:eastAsiaTheme="minorEastAsia"/>
          <w:bCs/>
          <w:iCs/>
          <w:color w:val="000000"/>
          <w:szCs w:val="21"/>
        </w:rPr>
        <w:t xml:space="preserve">证券交易所或银行间市场出现异常市场情况，管理人无法开展产品的流动性管理。 </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本产品出现当日净收益小于零的情形，为保护投资者的权益，产品管理人可暂停本产品的赎回。</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6）</w:t>
      </w:r>
      <w:r>
        <w:rPr>
          <w:rFonts w:hint="eastAsia" w:cs="宋体" w:asciiTheme="minorEastAsia" w:hAnsiTheme="minorEastAsia" w:eastAsiaTheme="minorEastAsia"/>
          <w:bCs/>
          <w:iCs/>
          <w:color w:val="000000"/>
          <w:szCs w:val="21"/>
        </w:rPr>
        <w:t>发生巨额赎回或连续巨额赎回。</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7</w:t>
      </w:r>
      <w:r>
        <w:rPr>
          <w:rFonts w:hint="eastAsia" w:cs="宋体" w:asciiTheme="minorEastAsia" w:hAnsiTheme="minorEastAsia" w:eastAsiaTheme="minorEastAsia"/>
          <w:bCs/>
          <w:iCs/>
          <w:color w:val="000000"/>
          <w:szCs w:val="21"/>
        </w:rPr>
        <w:t>）当接受某笔或某些笔赎回申请可能对现有理财产品投资者利益构成潜在重大不利影响时。</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8</w:t>
      </w:r>
      <w:r>
        <w:rPr>
          <w:rFonts w:hint="eastAsia" w:cs="宋体" w:asciiTheme="minorEastAsia" w:hAnsiTheme="minorEastAsia" w:eastAsiaTheme="minorEastAsia"/>
          <w:bCs/>
          <w:iCs/>
          <w:color w:val="000000"/>
          <w:szCs w:val="21"/>
        </w:rPr>
        <w:t>）发生赎回申请超过赎回上限的情形。</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9</w:t>
      </w:r>
      <w:r>
        <w:rPr>
          <w:rFonts w:hint="eastAsia" w:cs="宋体" w:asciiTheme="minorEastAsia" w:hAnsiTheme="minorEastAsia" w:eastAsiaTheme="minorEastAsia"/>
          <w:bCs/>
          <w:iCs/>
          <w:color w:val="000000"/>
          <w:szCs w:val="21"/>
        </w:rPr>
        <w:t>）对于单个投资者单个开放日申请赎回理财产品份额超过上一工作日日终理财产品总份额的10%的部分，管理人有权暂停接受其赎回申请；若管理人接受该赎回申请，管理人亦有权选择延缓支付赎回款项，但延缓期限不得超过20个工作日。</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10</w:t>
      </w:r>
      <w:r>
        <w:rPr>
          <w:rFonts w:hint="eastAsia" w:cs="宋体" w:asciiTheme="minorEastAsia" w:hAnsiTheme="minorEastAsia" w:eastAsiaTheme="minorEastAsia"/>
          <w:bCs/>
          <w:iCs/>
          <w:color w:val="000000"/>
          <w:szCs w:val="21"/>
        </w:rPr>
        <w:t>）当影子定价确定的产品资产净值与摊余成本法计算的资产净值负偏离度绝对值连续两个交易日超过0.5%时。</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11）</w:t>
      </w:r>
      <w:r>
        <w:rPr>
          <w:rFonts w:hint="eastAsia" w:cs="宋体" w:asciiTheme="minorEastAsia" w:hAnsiTheme="minorEastAsia" w:eastAsiaTheme="minorEastAsia"/>
          <w:bCs/>
          <w:iCs/>
          <w:color w:val="000000"/>
          <w:szCs w:val="21"/>
        </w:rPr>
        <w:t>产品管理人和托管人的技术保障等异常情况导致理财销售系统或会计系统无法正常运行。</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12）</w:t>
      </w:r>
      <w:r>
        <w:rPr>
          <w:rFonts w:hint="eastAsia" w:cs="宋体" w:asciiTheme="minorEastAsia" w:hAnsiTheme="minorEastAsia" w:eastAsiaTheme="minorEastAsia"/>
          <w:bCs/>
          <w:iCs/>
          <w:color w:val="000000"/>
          <w:szCs w:val="21"/>
        </w:rPr>
        <w:t>证券交易所或银行间市场数据传输延迟、通讯系统故障、银行系统故障或其他非产品管理人及托管人所能控制的因素影响了产品运作流程。</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13</w:t>
      </w:r>
      <w:r>
        <w:rPr>
          <w:rFonts w:hint="eastAsia" w:cs="宋体" w:asciiTheme="minorEastAsia" w:hAnsiTheme="minorEastAsia" w:eastAsiaTheme="minorEastAsia"/>
          <w:bCs/>
          <w:iCs/>
          <w:color w:val="000000"/>
          <w:szCs w:val="21"/>
        </w:rPr>
        <w:t>）法律法规或监管机构认定的其他情形。</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在暂停赎回或延缓支付赎回款项的情况消除时，产品管理人应及时恢复赎回或支付业务赎回款项的办理。</w:t>
      </w:r>
    </w:p>
    <w:p>
      <w:pPr>
        <w:snapToGrid w:val="0"/>
        <w:spacing w:before="240" w:beforeLines="10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七、理财产品估值</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（一）估值目的和估值原则</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理财产品估值的目的是客观、准确地反映理财产品的价值。</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（二）估值对象</w:t>
      </w:r>
    </w:p>
    <w:p>
      <w:pPr>
        <w:pStyle w:val="28"/>
        <w:snapToGrid w:val="0"/>
        <w:spacing w:line="360" w:lineRule="auto"/>
        <w:ind w:firstLine="420" w:firstLineChars="200"/>
        <w:rPr>
          <w:rFonts w:asciiTheme="minorEastAsia" w:hAnsiTheme="minorEastAsia"/>
        </w:rPr>
      </w:pPr>
      <w:r>
        <w:rPr>
          <w:rFonts w:hint="eastAsia" w:asciiTheme="minorEastAsia" w:hAnsiTheme="minorEastAsia"/>
          <w:sz w:val="21"/>
        </w:rPr>
        <w:t>本</w:t>
      </w:r>
      <w:r>
        <w:rPr>
          <w:rFonts w:hint="eastAsia" w:asciiTheme="minorEastAsia" w:hAnsiTheme="minorEastAsia"/>
          <w:sz w:val="21"/>
          <w:szCs w:val="21"/>
        </w:rPr>
        <w:t>理财</w:t>
      </w:r>
      <w:r>
        <w:rPr>
          <w:rFonts w:hint="eastAsia" w:asciiTheme="minorEastAsia" w:hAnsiTheme="minorEastAsia"/>
          <w:sz w:val="21"/>
        </w:rPr>
        <w:t>产品所拥有的</w:t>
      </w:r>
      <w:r>
        <w:rPr>
          <w:rFonts w:hint="eastAsia" w:asciiTheme="minorEastAsia" w:hAnsiTheme="minorEastAsia"/>
          <w:sz w:val="21"/>
          <w:szCs w:val="21"/>
        </w:rPr>
        <w:t>所有</w:t>
      </w:r>
      <w:r>
        <w:rPr>
          <w:rFonts w:hint="eastAsia" w:asciiTheme="minorEastAsia" w:hAnsiTheme="minorEastAsia"/>
          <w:sz w:val="21"/>
        </w:rPr>
        <w:t>资产</w:t>
      </w:r>
      <w:r>
        <w:rPr>
          <w:rFonts w:hint="eastAsia" w:asciiTheme="minorEastAsia" w:hAnsiTheme="minorEastAsia"/>
          <w:sz w:val="21"/>
          <w:szCs w:val="21"/>
        </w:rPr>
        <w:t>及</w:t>
      </w:r>
      <w:r>
        <w:rPr>
          <w:rFonts w:hint="eastAsia" w:asciiTheme="minorEastAsia" w:hAnsiTheme="minorEastAsia"/>
          <w:sz w:val="21"/>
        </w:rPr>
        <w:t>负债。</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（三）估值日</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本产品估值日详见</w:t>
      </w:r>
      <w:r>
        <w:rPr>
          <w:rFonts w:hint="eastAsia" w:asciiTheme="minorEastAsia" w:hAnsiTheme="minorEastAsia" w:eastAsiaTheme="minorEastAsia"/>
          <w:szCs w:val="21"/>
        </w:rPr>
        <w:t>本《产品说明书》“二、产品概述”</w:t>
      </w:r>
      <w:r>
        <w:rPr>
          <w:rFonts w:hint="eastAsia" w:cs="宋体" w:asciiTheme="minorEastAsia" w:hAnsiTheme="minorEastAsia" w:eastAsiaTheme="minorEastAsia"/>
          <w:bCs/>
          <w:iCs/>
          <w:color w:val="000000"/>
          <w:szCs w:val="21"/>
        </w:rPr>
        <w:t>。</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（四）估值方法</w:t>
      </w:r>
    </w:p>
    <w:p>
      <w:pPr>
        <w:widowControl/>
        <w:autoSpaceDE w:val="0"/>
        <w:autoSpaceDN w:val="0"/>
        <w:adjustRightInd/>
        <w:snapToGrid w:val="0"/>
        <w:spacing w:line="360" w:lineRule="auto"/>
        <w:ind w:right="0" w:firstLine="420" w:firstLineChars="200"/>
        <w:jc w:val="left"/>
        <w:rPr>
          <w:rFonts w:asciiTheme="minorEastAsia" w:hAnsiTheme="minorEastAsia" w:eastAsiaTheme="minorEastAsia"/>
          <w:sz w:val="24"/>
          <w:szCs w:val="21"/>
        </w:rPr>
      </w:pPr>
      <w:r>
        <w:rPr>
          <w:rFonts w:asciiTheme="minorEastAsia" w:hAnsiTheme="minorEastAsia" w:eastAsiaTheme="minorEastAsia"/>
          <w:szCs w:val="21"/>
        </w:rPr>
        <w:t>1.债券类固定收益证券采用摊</w:t>
      </w:r>
      <w:r>
        <w:rPr>
          <w:rFonts w:hint="eastAsia" w:asciiTheme="minorEastAsia" w:hAnsiTheme="minorEastAsia" w:eastAsiaTheme="minorEastAsia"/>
          <w:szCs w:val="21"/>
        </w:rPr>
        <w:t>余成本法计量，即以买入成本列示，按照票面利率或商定利率并考虑其买入时的溢价与折价，在剩余存续期内按实际利率法进行摊销，每日计提损益。</w:t>
      </w:r>
    </w:p>
    <w:p>
      <w:pPr>
        <w:pStyle w:val="28"/>
        <w:widowControl/>
        <w:adjustRightInd/>
        <w:snapToGrid w:val="0"/>
        <w:spacing w:line="360" w:lineRule="auto"/>
        <w:ind w:firstLine="420" w:firstLineChars="200"/>
        <w:rPr>
          <w:rFonts w:asciiTheme="minorEastAsia" w:hAnsiTheme="minorEastAsia"/>
          <w:sz w:val="21"/>
        </w:rPr>
      </w:pPr>
      <w:r>
        <w:rPr>
          <w:rFonts w:asciiTheme="minorEastAsia" w:hAnsiTheme="minorEastAsia"/>
          <w:color w:val="auto"/>
          <w:sz w:val="21"/>
        </w:rPr>
        <w:t>2.</w:t>
      </w:r>
      <w:r>
        <w:rPr>
          <w:rFonts w:hint="eastAsia" w:asciiTheme="minorEastAsia" w:hAnsiTheme="minorEastAsia"/>
          <w:color w:val="auto"/>
          <w:sz w:val="21"/>
        </w:rPr>
        <w:t>银行存款及证券资金账户存款按照商定利率在实际持有期内逐日计提应计利息，在利息到账日以实收利息入账。</w:t>
      </w:r>
    </w:p>
    <w:p>
      <w:pPr>
        <w:widowControl/>
        <w:autoSpaceDE w:val="0"/>
        <w:autoSpaceDN w:val="0"/>
        <w:adjustRightInd/>
        <w:snapToGrid w:val="0"/>
        <w:spacing w:line="360" w:lineRule="auto"/>
        <w:ind w:right="0" w:firstLine="420" w:firstLineChars="200"/>
        <w:jc w:val="left"/>
        <w:rPr>
          <w:rFonts w:asciiTheme="minorEastAsia" w:hAnsiTheme="minorEastAsia" w:eastAsiaTheme="minorEastAsia"/>
          <w:sz w:val="24"/>
        </w:rPr>
      </w:pPr>
      <w:r>
        <w:rPr>
          <w:rFonts w:asciiTheme="minorEastAsia" w:hAnsiTheme="minorEastAsia" w:eastAsiaTheme="minorEastAsia"/>
        </w:rPr>
        <w:t>3.债券回购和具有固定回报的买入返售金融资产：以交易成本列示，按约定利率逐日计提利息</w:t>
      </w:r>
      <w:r>
        <w:rPr>
          <w:rFonts w:hint="eastAsia" w:asciiTheme="minorEastAsia" w:hAnsiTheme="minorEastAsia" w:eastAsiaTheme="minorEastAsia"/>
        </w:rPr>
        <w:t>。</w:t>
      </w:r>
    </w:p>
    <w:p>
      <w:pPr>
        <w:widowControl/>
        <w:autoSpaceDE w:val="0"/>
        <w:autoSpaceDN w:val="0"/>
        <w:adjustRightInd/>
        <w:snapToGrid w:val="0"/>
        <w:spacing w:line="360" w:lineRule="auto"/>
        <w:ind w:right="0" w:firstLine="420" w:firstLineChars="200"/>
        <w:jc w:val="left"/>
        <w:rPr>
          <w:rFonts w:asciiTheme="minorEastAsia" w:hAnsiTheme="minorEastAsia"/>
        </w:rPr>
      </w:pPr>
      <w:r>
        <w:rPr>
          <w:rFonts w:asciiTheme="minorEastAsia" w:hAnsiTheme="minorEastAsia" w:eastAsiaTheme="minorEastAsia"/>
          <w:szCs w:val="21"/>
        </w:rPr>
        <w:t>4.</w:t>
      </w:r>
      <w:r>
        <w:rPr>
          <w:rFonts w:hint="eastAsia" w:asciiTheme="minorEastAsia" w:hAnsiTheme="minorEastAsia" w:eastAsiaTheme="minorEastAsia"/>
          <w:szCs w:val="21"/>
        </w:rPr>
        <w:t>非上市货币市场基金，按所投资基金估值日的份额净值估值或前一估值日后至估值日期间（含节假日）的万份收益计提估值日基金收益。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widowControl/>
        <w:autoSpaceDE w:val="0"/>
        <w:autoSpaceDN w:val="0"/>
        <w:adjustRightInd/>
        <w:snapToGrid w:val="0"/>
        <w:spacing w:line="360" w:lineRule="auto"/>
        <w:ind w:right="0" w:firstLine="420" w:firstLineChars="200"/>
        <w:jc w:val="left"/>
        <w:rPr>
          <w:rFonts w:asciiTheme="minorEastAsia" w:hAnsiTheme="minorEastAsia" w:eastAsiaTheme="minorEastAsia"/>
          <w:sz w:val="24"/>
          <w:szCs w:val="21"/>
        </w:rPr>
      </w:pPr>
      <w:r>
        <w:rPr>
          <w:rFonts w:asciiTheme="minorEastAsia" w:hAnsiTheme="minorEastAsia" w:eastAsiaTheme="minorEastAsia"/>
          <w:szCs w:val="21"/>
        </w:rPr>
        <w:t>5.</w:t>
      </w:r>
      <w:r>
        <w:rPr>
          <w:rFonts w:hint="eastAsia" w:asciiTheme="minorEastAsia" w:hAnsiTheme="minorEastAsia" w:eastAsiaTheme="minorEastAsia"/>
          <w:szCs w:val="21"/>
        </w:rPr>
        <w:t>除证券投资基金以外的其他资产管理计划，如保险资产管理机构、证券公司及其子公司等发行的资产管理计划，经产品管理人与托管人协商确定，按照相关监管规定和会计准则采用适当的方式进行计量。</w:t>
      </w:r>
    </w:p>
    <w:p>
      <w:pPr>
        <w:widowControl/>
        <w:autoSpaceDE w:val="0"/>
        <w:autoSpaceDN w:val="0"/>
        <w:adjustRightInd/>
        <w:snapToGrid w:val="0"/>
        <w:spacing w:line="360" w:lineRule="auto"/>
        <w:ind w:right="0" w:firstLine="420" w:firstLineChars="200"/>
        <w:jc w:val="left"/>
        <w:rPr>
          <w:rFonts w:asciiTheme="minorEastAsia" w:hAnsiTheme="minorEastAsia" w:eastAsiaTheme="minorEastAsia"/>
          <w:sz w:val="24"/>
          <w:szCs w:val="21"/>
        </w:rPr>
      </w:pPr>
      <w:r>
        <w:rPr>
          <w:rFonts w:asciiTheme="minorEastAsia" w:hAnsiTheme="minorEastAsia" w:eastAsiaTheme="minorEastAsia"/>
          <w:szCs w:val="21"/>
        </w:rPr>
        <w:t>6.</w:t>
      </w:r>
      <w:r>
        <w:rPr>
          <w:rFonts w:hint="eastAsia" w:asciiTheme="minorEastAsia" w:hAnsiTheme="minorEastAsia" w:eastAsiaTheme="minorEastAsia"/>
          <w:szCs w:val="21"/>
        </w:rPr>
        <w:t>本理财产品采用摊余成本法进行核算的，应当采用影子定价的风险控制手段，对摊余成本法计算的资产净值的公允性进行评估。</w:t>
      </w:r>
    </w:p>
    <w:p>
      <w:pPr>
        <w:widowControl/>
        <w:autoSpaceDE w:val="0"/>
        <w:autoSpaceDN w:val="0"/>
        <w:adjustRightInd/>
        <w:snapToGrid w:val="0"/>
        <w:spacing w:line="360" w:lineRule="auto"/>
        <w:ind w:right="0" w:firstLine="420" w:firstLineChars="200"/>
        <w:jc w:val="left"/>
        <w:rPr>
          <w:rFonts w:asciiTheme="minorEastAsia" w:hAnsiTheme="minorEastAsia" w:eastAsiaTheme="minorEastAsia"/>
          <w:sz w:val="24"/>
          <w:szCs w:val="21"/>
        </w:rPr>
      </w:pPr>
      <w:r>
        <w:rPr>
          <w:rFonts w:hint="eastAsia" w:asciiTheme="minorEastAsia" w:hAnsiTheme="minorEastAsia" w:eastAsiaTheme="minorEastAsia"/>
          <w:szCs w:val="21"/>
        </w:rPr>
        <w:t>当理财产品通过摊余成本法计算的资产净值与通过“影子定价”确定的资产净值产生重大偏离，管理人将采取以下措施使本理财产品资产净值更能公允地反映本理财产品资产价值，确保以“摊余成本法”计算的理财产品资产净值不会对投资者造成实质性的损害：</w:t>
      </w:r>
      <w:r>
        <w:rPr>
          <w:rFonts w:asciiTheme="minorEastAsia" w:hAnsiTheme="minorEastAsia" w:eastAsiaTheme="minorEastAsia"/>
          <w:szCs w:val="21"/>
        </w:rPr>
        <w:t xml:space="preserve">   </w:t>
      </w:r>
    </w:p>
    <w:p>
      <w:pPr>
        <w:widowControl/>
        <w:autoSpaceDE w:val="0"/>
        <w:autoSpaceDN w:val="0"/>
        <w:adjustRightInd/>
        <w:snapToGrid w:val="0"/>
        <w:spacing w:line="360" w:lineRule="auto"/>
        <w:ind w:right="0" w:firstLine="420" w:firstLineChars="200"/>
        <w:jc w:val="left"/>
        <w:rPr>
          <w:rFonts w:asciiTheme="minorEastAsia" w:hAnsiTheme="minorEastAsia" w:eastAsiaTheme="minorEastAsia"/>
          <w:sz w:val="24"/>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）当“影子定价”确定的本理财产品资产净值与“摊余成本法”计算资产净值正偏离度绝对值达到</w:t>
      </w:r>
      <w:r>
        <w:rPr>
          <w:rFonts w:asciiTheme="minorEastAsia" w:hAnsiTheme="minorEastAsia" w:eastAsiaTheme="minorEastAsia"/>
          <w:szCs w:val="21"/>
        </w:rPr>
        <w:t>0.5%</w:t>
      </w:r>
      <w:r>
        <w:rPr>
          <w:rFonts w:hint="eastAsia" w:asciiTheme="minorEastAsia" w:hAnsiTheme="minorEastAsia" w:eastAsiaTheme="minorEastAsia"/>
          <w:szCs w:val="21"/>
        </w:rPr>
        <w:t>时，管理人应当暂停接受申购并在</w:t>
      </w:r>
      <w:r>
        <w:rPr>
          <w:rFonts w:asciiTheme="minorEastAsia" w:hAnsiTheme="minorEastAsia" w:eastAsiaTheme="minorEastAsia"/>
          <w:szCs w:val="21"/>
        </w:rPr>
        <w:t>5</w:t>
      </w:r>
      <w:r>
        <w:rPr>
          <w:rFonts w:hint="eastAsia" w:asciiTheme="minorEastAsia" w:hAnsiTheme="minorEastAsia" w:eastAsiaTheme="minorEastAsia"/>
          <w:szCs w:val="21"/>
        </w:rPr>
        <w:t>个交易日内将正偏离度绝对值调整到</w:t>
      </w:r>
      <w:r>
        <w:rPr>
          <w:rFonts w:asciiTheme="minorEastAsia" w:hAnsiTheme="minorEastAsia" w:eastAsiaTheme="minorEastAsia"/>
          <w:szCs w:val="21"/>
        </w:rPr>
        <w:t>0.5%</w:t>
      </w:r>
      <w:r>
        <w:rPr>
          <w:rFonts w:hint="eastAsia" w:asciiTheme="minorEastAsia" w:hAnsiTheme="minorEastAsia" w:eastAsiaTheme="minorEastAsia"/>
          <w:szCs w:val="21"/>
        </w:rPr>
        <w:t>以内。</w:t>
      </w:r>
    </w:p>
    <w:p>
      <w:pPr>
        <w:widowControl/>
        <w:autoSpaceDE w:val="0"/>
        <w:autoSpaceDN w:val="0"/>
        <w:adjustRightInd/>
        <w:snapToGrid w:val="0"/>
        <w:spacing w:line="360" w:lineRule="auto"/>
        <w:ind w:right="0" w:firstLine="420" w:firstLineChars="200"/>
        <w:jc w:val="left"/>
        <w:rPr>
          <w:rFonts w:asciiTheme="minorEastAsia" w:hAnsiTheme="minorEastAsia" w:eastAsiaTheme="minorEastAsia"/>
          <w:sz w:val="24"/>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）当负偏离度绝对值达到</w:t>
      </w:r>
      <w:r>
        <w:rPr>
          <w:rFonts w:asciiTheme="minorEastAsia" w:hAnsiTheme="minorEastAsia" w:eastAsiaTheme="minorEastAsia"/>
          <w:szCs w:val="21"/>
        </w:rPr>
        <w:t>0.25%</w:t>
      </w:r>
      <w:r>
        <w:rPr>
          <w:rFonts w:hint="eastAsia" w:asciiTheme="minorEastAsia" w:hAnsiTheme="minorEastAsia" w:eastAsiaTheme="minorEastAsia"/>
          <w:szCs w:val="21"/>
        </w:rPr>
        <w:t>时，管理人应当在</w:t>
      </w:r>
      <w:r>
        <w:rPr>
          <w:rFonts w:asciiTheme="minorEastAsia" w:hAnsiTheme="minorEastAsia" w:eastAsiaTheme="minorEastAsia"/>
          <w:szCs w:val="21"/>
        </w:rPr>
        <w:t>5</w:t>
      </w:r>
      <w:r>
        <w:rPr>
          <w:rFonts w:hint="eastAsia" w:asciiTheme="minorEastAsia" w:hAnsiTheme="minorEastAsia" w:eastAsiaTheme="minorEastAsia"/>
          <w:szCs w:val="21"/>
        </w:rPr>
        <w:t>个交易日内将负偏离度绝对值调整到</w:t>
      </w:r>
      <w:r>
        <w:rPr>
          <w:rFonts w:asciiTheme="minorEastAsia" w:hAnsiTheme="minorEastAsia" w:eastAsiaTheme="minorEastAsia"/>
          <w:szCs w:val="21"/>
        </w:rPr>
        <w:t>0.25%</w:t>
      </w:r>
      <w:r>
        <w:rPr>
          <w:rFonts w:hint="eastAsia" w:asciiTheme="minorEastAsia" w:hAnsiTheme="minorEastAsia" w:eastAsiaTheme="minorEastAsia"/>
          <w:szCs w:val="21"/>
        </w:rPr>
        <w:t>以内。当负偏离度绝对值达到</w:t>
      </w:r>
      <w:r>
        <w:rPr>
          <w:rFonts w:asciiTheme="minorEastAsia" w:hAnsiTheme="minorEastAsia" w:eastAsiaTheme="minorEastAsia"/>
          <w:szCs w:val="21"/>
        </w:rPr>
        <w:t>0.5%</w:t>
      </w:r>
      <w:r>
        <w:rPr>
          <w:rFonts w:hint="eastAsia" w:asciiTheme="minorEastAsia" w:hAnsiTheme="minorEastAsia" w:eastAsiaTheme="minorEastAsia"/>
          <w:szCs w:val="21"/>
        </w:rPr>
        <w:t>时，管理人应当采取相应措施，将负偏离度绝对值控制在</w:t>
      </w:r>
      <w:r>
        <w:rPr>
          <w:rFonts w:asciiTheme="minorEastAsia" w:hAnsiTheme="minorEastAsia" w:eastAsiaTheme="minorEastAsia"/>
          <w:szCs w:val="21"/>
        </w:rPr>
        <w:t>0.5%</w:t>
      </w:r>
      <w:r>
        <w:rPr>
          <w:rFonts w:hint="eastAsia" w:asciiTheme="minorEastAsia" w:hAnsiTheme="minorEastAsia" w:eastAsiaTheme="minorEastAsia"/>
          <w:szCs w:val="21"/>
        </w:rPr>
        <w:t>以内。</w:t>
      </w:r>
    </w:p>
    <w:p>
      <w:pPr>
        <w:widowControl/>
        <w:autoSpaceDE w:val="0"/>
        <w:autoSpaceDN w:val="0"/>
        <w:adjustRightInd/>
        <w:snapToGrid w:val="0"/>
        <w:spacing w:line="360" w:lineRule="auto"/>
        <w:ind w:right="0" w:firstLine="420" w:firstLineChars="200"/>
        <w:jc w:val="left"/>
        <w:rPr>
          <w:rFonts w:asciiTheme="minorEastAsia" w:hAnsiTheme="minorEastAsia" w:eastAsiaTheme="minorEastAsia"/>
          <w:color w:val="000000"/>
          <w:sz w:val="28"/>
          <w:szCs w:val="24"/>
        </w:rPr>
      </w:pPr>
      <w:r>
        <w:rPr>
          <w:rFonts w:hint="eastAsia" w:asciiTheme="minorEastAsia" w:hAnsiTheme="minorEastAsia" w:eastAsiaTheme="minorEastAsia"/>
          <w:szCs w:val="21"/>
        </w:rPr>
        <w:t>（</w:t>
      </w:r>
      <w:r>
        <w:rPr>
          <w:rFonts w:asciiTheme="minorEastAsia" w:hAnsiTheme="minorEastAsia" w:eastAsiaTheme="minorEastAsia"/>
          <w:szCs w:val="21"/>
        </w:rPr>
        <w:t>3）当负偏离度绝对值连续2个交易日超过0.5%时，管理人应当采用公允价值估值方法对持有投资组合的账面价值进行调整，或者采取暂停接受所有赎回申请并终止本理财产品进行财产清算等措施。</w:t>
      </w:r>
    </w:p>
    <w:p>
      <w:pPr>
        <w:spacing w:line="360" w:lineRule="auto"/>
        <w:ind w:firstLine="420" w:firstLineChars="20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7.如有新增事项或变更事项，按国家最新规定或理财产品管理人最新约定估值。</w:t>
      </w:r>
    </w:p>
    <w:p>
      <w:pPr>
        <w:spacing w:line="360" w:lineRule="auto"/>
        <w:ind w:firstLine="420" w:firstLineChars="200"/>
        <w:rPr>
          <w:rFonts w:asciiTheme="minorEastAsia" w:hAnsiTheme="minorEastAsia" w:eastAsiaTheme="minorEastAsia"/>
          <w:color w:val="000000"/>
        </w:rPr>
      </w:pPr>
      <w:r>
        <w:rPr>
          <w:rFonts w:hint="eastAsia" w:asciiTheme="minorEastAsia" w:hAnsiTheme="minorEastAsia" w:eastAsiaTheme="minorEastAsia"/>
          <w:bCs/>
          <w:color w:val="000000"/>
          <w:szCs w:val="21"/>
        </w:rPr>
        <w:t>8</w:t>
      </w:r>
      <w:r>
        <w:rPr>
          <w:rFonts w:hint="eastAsia" w:asciiTheme="minorEastAsia" w:hAnsiTheme="minorEastAsia" w:eastAsiaTheme="minorEastAsia"/>
          <w:color w:val="000000"/>
        </w:rPr>
        <w:t>.如有确凿证据表明按上述方法进行估值不能客观反映其公允价值的，资产管理人可根据具体情况与资产托管人商定后，按最能反映公允价值的价格估值。</w:t>
      </w:r>
    </w:p>
    <w:p>
      <w:pPr>
        <w:spacing w:line="360" w:lineRule="auto"/>
        <w:ind w:firstLine="420" w:firstLineChars="200"/>
        <w:rPr>
          <w:rFonts w:asciiTheme="minorEastAsia" w:hAnsiTheme="minorEastAsia" w:eastAsiaTheme="minorEastAsia"/>
          <w:color w:val="000000"/>
        </w:rPr>
      </w:pPr>
      <w:r>
        <w:rPr>
          <w:rFonts w:hint="eastAsia" w:asciiTheme="minorEastAsia" w:hAnsiTheme="minorEastAsia" w:eastAsiaTheme="minorEastAsia"/>
          <w:bCs/>
          <w:color w:val="000000"/>
          <w:szCs w:val="21"/>
        </w:rPr>
        <w:t>9</w:t>
      </w:r>
      <w:r>
        <w:rPr>
          <w:rFonts w:hint="eastAsia" w:asciiTheme="minorEastAsia" w:hAnsiTheme="minorEastAsia" w:eastAsiaTheme="minorEastAsia"/>
          <w:color w:val="000000"/>
        </w:rPr>
        <w:t xml:space="preserve">.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 </w:t>
      </w:r>
    </w:p>
    <w:p>
      <w:pPr>
        <w:spacing w:line="360" w:lineRule="auto"/>
        <w:ind w:firstLine="420" w:firstLineChars="20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10.★</w:t>
      </w:r>
      <w:r>
        <w:rPr>
          <w:rFonts w:hint="eastAsia" w:asciiTheme="minorEastAsia" w:hAnsiTheme="minorEastAsia" w:eastAsiaTheme="minorEastAsia"/>
          <w:color w:val="000000"/>
        </w:rPr>
        <w:t>对于以上估值方法，法律法规以及监管</w:t>
      </w:r>
      <w:r>
        <w:rPr>
          <w:rFonts w:hint="eastAsia" w:asciiTheme="minorEastAsia" w:hAnsiTheme="minorEastAsia" w:eastAsiaTheme="minorEastAsia"/>
          <w:bCs/>
          <w:color w:val="000000"/>
          <w:szCs w:val="21"/>
        </w:rPr>
        <w:t>机构有</w:t>
      </w:r>
      <w:r>
        <w:rPr>
          <w:rFonts w:hint="eastAsia" w:asciiTheme="minorEastAsia" w:hAnsiTheme="minorEastAsia" w:eastAsiaTheme="minorEastAsia"/>
          <w:color w:val="000000"/>
        </w:rPr>
        <w:t>最新规定</w:t>
      </w:r>
      <w:r>
        <w:rPr>
          <w:rFonts w:hint="eastAsia" w:asciiTheme="minorEastAsia" w:hAnsiTheme="minorEastAsia" w:eastAsiaTheme="minorEastAsia"/>
          <w:bCs/>
          <w:color w:val="000000"/>
          <w:szCs w:val="21"/>
        </w:rPr>
        <w:t>的，从其规定</w:t>
      </w:r>
      <w:r>
        <w:rPr>
          <w:rFonts w:hint="eastAsia" w:asciiTheme="minorEastAsia" w:hAnsiTheme="minorEastAsia" w:eastAsiaTheme="minorEastAsia"/>
          <w:color w:val="000000"/>
        </w:rPr>
        <w:t>。如有新增事项，按相关法律法规以及监管部门规定估值，如</w:t>
      </w:r>
      <w:r>
        <w:rPr>
          <w:rFonts w:hint="eastAsia" w:asciiTheme="minorEastAsia" w:hAnsiTheme="minorEastAsia" w:eastAsiaTheme="minorEastAsia"/>
          <w:bCs/>
          <w:color w:val="000000"/>
          <w:szCs w:val="21"/>
        </w:rPr>
        <w:t>法律法规及</w:t>
      </w:r>
      <w:r>
        <w:rPr>
          <w:rFonts w:hint="eastAsia" w:asciiTheme="minorEastAsia" w:hAnsiTheme="minorEastAsia" w:eastAsiaTheme="minorEastAsia"/>
          <w:color w:val="000000"/>
        </w:rPr>
        <w:t>监管</w:t>
      </w:r>
      <w:r>
        <w:rPr>
          <w:rFonts w:hint="eastAsia" w:asciiTheme="minorEastAsia" w:hAnsiTheme="minorEastAsia" w:eastAsiaTheme="minorEastAsia"/>
          <w:bCs/>
          <w:color w:val="000000"/>
          <w:szCs w:val="21"/>
        </w:rPr>
        <w:t>机构</w:t>
      </w:r>
      <w:r>
        <w:rPr>
          <w:rFonts w:hint="eastAsia" w:asciiTheme="minorEastAsia" w:hAnsiTheme="minorEastAsia" w:eastAsiaTheme="minorEastAsia"/>
          <w:color w:val="000000"/>
        </w:rPr>
        <w:t>并无明确规定和要求的，由管理人与托管人协商确定计算方法</w:t>
      </w:r>
      <w:r>
        <w:rPr>
          <w:rFonts w:hint="eastAsia" w:asciiTheme="minorEastAsia" w:hAnsiTheme="minorEastAsia" w:eastAsiaTheme="minorEastAsia"/>
          <w:bCs/>
          <w:color w:val="000000"/>
          <w:szCs w:val="21"/>
        </w:rPr>
        <w:t>。</w:t>
      </w:r>
    </w:p>
    <w:p>
      <w:pPr>
        <w:spacing w:line="360" w:lineRule="auto"/>
        <w:ind w:firstLine="420" w:firstLineChars="20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11.如产品管理人或托管人发现理财估值违反本《产品说明书》约定的估值方法、程序及法律法规的规定或者未能充分维护投资者权益时，应立即通知对方，共同查明原因，双方协商解决。</w:t>
      </w:r>
    </w:p>
    <w:p>
      <w:pPr>
        <w:spacing w:line="360" w:lineRule="auto"/>
        <w:ind w:firstLine="420" w:firstLineChars="200"/>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12.根据法律法规，理财产品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产品资产净值的计算结果对外予以公布。</w:t>
      </w:r>
    </w:p>
    <w:p>
      <w:pPr>
        <w:spacing w:line="360" w:lineRule="auto"/>
        <w:ind w:firstLine="420" w:firstLineChars="200"/>
        <w:rPr>
          <w:rFonts w:cs="宋体" w:asciiTheme="minorEastAsia" w:hAnsiTheme="minorEastAsia" w:eastAsiaTheme="minorEastAsia"/>
          <w:bCs/>
          <w:iCs/>
          <w:color w:val="000000"/>
          <w:szCs w:val="21"/>
        </w:rPr>
      </w:pPr>
      <w:r>
        <w:rPr>
          <w:rFonts w:hint="eastAsia" w:asciiTheme="minorEastAsia" w:hAnsiTheme="minorEastAsia" w:eastAsiaTheme="minorEastAsia"/>
          <w:bCs/>
          <w:szCs w:val="21"/>
        </w:rPr>
        <w:t>13.如估值方法发生变更，产品管理人将依约定发布变更公告</w:t>
      </w:r>
      <w:r>
        <w:rPr>
          <w:rFonts w:hint="eastAsia" w:asciiTheme="minorEastAsia" w:hAnsiTheme="minorEastAsia" w:eastAsiaTheme="minorEastAsia"/>
        </w:rPr>
        <w:t>。</w:t>
      </w:r>
    </w:p>
    <w:p>
      <w:pPr>
        <w:spacing w:line="360" w:lineRule="auto"/>
        <w:ind w:firstLine="421" w:firstLineChars="200"/>
        <w:rPr>
          <w:rFonts w:asciiTheme="minorEastAsia" w:hAnsiTheme="minorEastAsia" w:eastAsiaTheme="minorEastAsia"/>
          <w:b/>
          <w:color w:val="000000"/>
        </w:rPr>
      </w:pPr>
      <w:r>
        <w:rPr>
          <w:rFonts w:hint="eastAsia" w:asciiTheme="minorEastAsia" w:hAnsiTheme="minorEastAsia" w:eastAsiaTheme="minorEastAsia"/>
          <w:b/>
          <w:color w:val="000000"/>
        </w:rPr>
        <w:t>（五）估值程序</w:t>
      </w:r>
    </w:p>
    <w:p>
      <w:pPr>
        <w:spacing w:line="360" w:lineRule="auto"/>
        <w:ind w:firstLine="420" w:firstLineChars="200"/>
        <w:rPr>
          <w:rFonts w:asciiTheme="minorEastAsia" w:hAnsiTheme="minorEastAsia" w:eastAsiaTheme="minorEastAsia"/>
          <w:color w:val="000000"/>
        </w:rPr>
      </w:pPr>
      <w:r>
        <w:rPr>
          <w:rFonts w:hint="eastAsia" w:asciiTheme="minorEastAsia" w:hAnsiTheme="minorEastAsia" w:eastAsiaTheme="minorEastAsia"/>
          <w:color w:val="000000"/>
        </w:rPr>
        <w:t>理财产品每万份收益=当日理财产品份额已实现收益</w:t>
      </w:r>
      <w:r>
        <w:rPr>
          <w:rFonts w:asciiTheme="minorEastAsia" w:hAnsiTheme="minorEastAsia" w:eastAsiaTheme="minorEastAsia"/>
          <w:color w:val="000000"/>
        </w:rPr>
        <w:t>÷</w:t>
      </w:r>
      <w:r>
        <w:rPr>
          <w:rFonts w:hint="eastAsia" w:asciiTheme="minorEastAsia" w:hAnsiTheme="minorEastAsia" w:eastAsiaTheme="minorEastAsia"/>
          <w:color w:val="000000"/>
        </w:rPr>
        <w:t>当日理财产品份额×1</w:t>
      </w:r>
      <w:r>
        <w:rPr>
          <w:rFonts w:asciiTheme="minorEastAsia" w:hAnsiTheme="minorEastAsia" w:eastAsiaTheme="minorEastAsia"/>
          <w:color w:val="000000"/>
        </w:rPr>
        <w:t>0000</w:t>
      </w:r>
      <w:r>
        <w:rPr>
          <w:rFonts w:hint="eastAsia" w:asciiTheme="minorEastAsia" w:hAnsiTheme="minorEastAsia" w:eastAsiaTheme="minorEastAsia"/>
          <w:color w:val="000000"/>
        </w:rPr>
        <w:t>，结果精确到0</w:t>
      </w:r>
      <w:r>
        <w:rPr>
          <w:rFonts w:asciiTheme="minorEastAsia" w:hAnsiTheme="minorEastAsia" w:eastAsiaTheme="minorEastAsia"/>
          <w:color w:val="000000"/>
        </w:rPr>
        <w:t>.0001</w:t>
      </w:r>
      <w:r>
        <w:rPr>
          <w:rFonts w:hint="eastAsia" w:asciiTheme="minorEastAsia" w:hAnsiTheme="minorEastAsia" w:eastAsiaTheme="minorEastAsia"/>
          <w:color w:val="000000"/>
        </w:rPr>
        <w:t>，小数点后第5位截位。</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（六）</w:t>
      </w:r>
      <w:r>
        <w:rPr>
          <w:rFonts w:cs="宋体" w:asciiTheme="minorEastAsia" w:hAnsiTheme="minorEastAsia" w:eastAsiaTheme="minorEastAsia"/>
          <w:b/>
          <w:bCs/>
          <w:iCs/>
          <w:color w:val="000000"/>
          <w:szCs w:val="21"/>
        </w:rPr>
        <w:t>暂停估值的情形</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1.理财产品投资所涉及的交易市场遇法定节假日或因其他原因暂停营业时暂停估值；</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2.因不可抗力或其他情形致使产品管理人、托管人无法准确评估资产价值时；</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3.理财产品投资的信托计划/资管计划/基金等</w:t>
      </w:r>
      <w:r>
        <w:rPr>
          <w:rFonts w:hint="eastAsia" w:cs="宋体" w:asciiTheme="minorEastAsia" w:hAnsiTheme="minorEastAsia" w:eastAsiaTheme="minorEastAsia"/>
          <w:bCs/>
          <w:iCs/>
          <w:color w:val="000000"/>
          <w:szCs w:val="21"/>
        </w:rPr>
        <w:t>资管</w:t>
      </w:r>
      <w:r>
        <w:rPr>
          <w:rFonts w:cs="宋体" w:asciiTheme="minorEastAsia" w:hAnsiTheme="minorEastAsia" w:eastAsiaTheme="minorEastAsia"/>
          <w:bCs/>
          <w:iCs/>
          <w:color w:val="000000"/>
          <w:szCs w:val="21"/>
        </w:rPr>
        <w:t>产品的产品文件约定暂停估值或无法估值的情形发生，导致理财产品无法估值的；</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4.占理财产品相当比例的投资品种的估值出现重大转变，而管理人为保障投资者的利益，已决定延迟估值；</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在前一估值日内，理财产品资产净值</w:t>
      </w:r>
      <w:r>
        <w:rPr>
          <w:rFonts w:cs="宋体" w:asciiTheme="minorEastAsia" w:hAnsiTheme="minorEastAsia" w:eastAsiaTheme="minorEastAsia"/>
          <w:bCs/>
          <w:iCs/>
          <w:color w:val="000000"/>
          <w:szCs w:val="21"/>
        </w:rPr>
        <w:t>50%以上的资产不具备活跃交易市场或者在活跃市场中无报价，且不能采用估值技术可靠计量公允价值的；</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6.产品管理人、托管人有合理理由认为</w:t>
      </w:r>
      <w:r>
        <w:rPr>
          <w:rFonts w:hint="eastAsia" w:cs="宋体" w:asciiTheme="minorEastAsia" w:hAnsiTheme="minorEastAsia" w:eastAsiaTheme="minorEastAsia"/>
          <w:bCs/>
          <w:iCs/>
          <w:color w:val="000000"/>
          <w:szCs w:val="21"/>
        </w:rPr>
        <w:t>将影响本理财产品估值的其他情形发生；</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7.</w:t>
      </w:r>
      <w:r>
        <w:rPr>
          <w:rFonts w:hint="eastAsia" w:cs="宋体" w:asciiTheme="minorEastAsia" w:hAnsiTheme="minorEastAsia" w:eastAsiaTheme="minorEastAsia"/>
          <w:bCs/>
          <w:iCs/>
          <w:color w:val="000000"/>
          <w:szCs w:val="21"/>
        </w:rPr>
        <w:t>监管机构规定的其他情形</w:t>
      </w:r>
      <w:r>
        <w:rPr>
          <w:rFonts w:cs="宋体" w:asciiTheme="minorEastAsia" w:hAnsiTheme="minorEastAsia" w:eastAsiaTheme="minorEastAsia"/>
          <w:bCs/>
          <w:iCs/>
          <w:color w:val="000000"/>
          <w:szCs w:val="21"/>
        </w:rPr>
        <w:t>。</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（七）估值错误的处理</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本产品管理人和托管人将采取必要、适当合理的措施确保资产估值的准确性、及时性。当理财产品份额净值出现错误时，本产品管理人和托管人应当立即予以纠正，并采取合理的措施防止损失进一步扩大。</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1.估值错误的处理</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1）处理原则</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由于管理人或托管人自身的过错造成估值错误，导致投资者遭受损失的，由估值错误责任方对该估值错误导致投资者遭受的直接损失给予赔偿，承担赔偿责任；若管理人和托管人均存在过错，则按照各自的过错程度承担赔偿责任。</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2）对于因技术原因引起的差错，若系同行业现有技术水平无法预见、无法避免、无法抗拒，属不可抗力。</w:t>
      </w:r>
      <w:r>
        <w:rPr>
          <w:rFonts w:cs="宋体" w:asciiTheme="minorEastAsia" w:hAnsiTheme="minorEastAsia" w:eastAsiaTheme="minorEastAsia"/>
          <w:b/>
          <w:bCs/>
          <w:iCs/>
          <w:color w:val="000000"/>
          <w:szCs w:val="21"/>
        </w:rPr>
        <w:t>因不可抗力原因出现差错的当事人不对投资者承担赔偿责任，但因该差错取得不当得利的投资者仍应负有返还不当得利的义务。</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因托管人估值错误造成财产损失时，管理人应向托管人追偿。若管理人和托管人之外的第三方估值差错造成理财产品财产的损失，并拒绝进行赔偿时，由管理人负责向差错方追偿；追偿过程中产生的有关费用，从产品中列支。</w:t>
      </w:r>
    </w:p>
    <w:p>
      <w:pPr>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4）当估值出现错误时，因估值错误而获得不当得利的投资者负有及时返还不当得利的义务。</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5）按法律法规、监管规定的其他原则处理估值错误。</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2）处理程序</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1）查明估值错误发生的原因，并根据估值错误发生的原因确定估值错误的责任方。</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2）根据估值错误处理原则对因估值错误造成的损失进行评估。</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3）根据管理人和托管人协商的方法，由管理人和托管人共同进行更正，由估值错误的责任方进行赔偿损失。</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2.特殊情况的处理</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由于不可抗力原因，或由于证券交易所、期货交易所、第三方估值机构、信托公司、基金公司等发送数据错误等非产品管理人和托管人原因，产品管理人和托管人虽然已经采取必要、适当、合理的措施进行检查，但未能发现错误的，由此造成的估值错误，产品管理人和托管人免除赔偿责任。但产品管理人、托管人应当积极采取必要的措施减轻或消除由此造成的影响。</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前述内容如法律法规、监管机构另有规定的，或有关会计准则发生变化等，按照国家最新规定或产品管理人最新约定估值。如果行业另有通行做法，产品管理人和托管人本着平等和保护投资者利益的原则进行协商。</w:t>
      </w:r>
    </w:p>
    <w:p>
      <w:pPr>
        <w:spacing w:line="360" w:lineRule="auto"/>
        <w:ind w:firstLine="420" w:firstLineChars="200"/>
        <w:rPr>
          <w:rFonts w:cs="宋体" w:asciiTheme="minorEastAsia" w:hAnsiTheme="minorEastAsia" w:eastAsiaTheme="minorEastAsia"/>
          <w:bCs/>
          <w:iCs/>
          <w:color w:val="000000"/>
          <w:szCs w:val="21"/>
        </w:rPr>
      </w:pPr>
    </w:p>
    <w:p>
      <w:pPr>
        <w:snapToGrid w:val="0"/>
        <w:spacing w:before="240" w:beforeLines="10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八、理财产品的资金</w:t>
      </w:r>
      <w:r>
        <w:rPr>
          <w:rFonts w:asciiTheme="minorEastAsia" w:hAnsiTheme="minorEastAsia" w:eastAsiaTheme="minorEastAsia"/>
          <w:b/>
          <w:szCs w:val="21"/>
        </w:rPr>
        <w:t>分配</w:t>
      </w:r>
    </w:p>
    <w:p>
      <w:pPr>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（一）</w:t>
      </w:r>
      <w:r>
        <w:rPr>
          <w:rFonts w:hint="eastAsia" w:cs="宋体" w:asciiTheme="minorEastAsia" w:hAnsiTheme="minorEastAsia" w:eastAsiaTheme="minorEastAsia"/>
          <w:b/>
          <w:bCs/>
          <w:iCs/>
          <w:color w:val="000000"/>
          <w:szCs w:val="21"/>
        </w:rPr>
        <w:t>期间</w:t>
      </w:r>
      <w:r>
        <w:rPr>
          <w:rFonts w:cs="宋体" w:asciiTheme="minorEastAsia" w:hAnsiTheme="minorEastAsia" w:eastAsiaTheme="minorEastAsia"/>
          <w:b/>
          <w:bCs/>
          <w:iCs/>
          <w:color w:val="000000"/>
          <w:szCs w:val="21"/>
        </w:rPr>
        <w:t>分配</w:t>
      </w:r>
    </w:p>
    <w:p>
      <w:pPr>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1.本产品收益分配方式详见本《产品说明书》“二、产品概述”。</w:t>
      </w:r>
    </w:p>
    <w:p>
      <w:pPr>
        <w:spacing w:line="360" w:lineRule="auto"/>
        <w:ind w:firstLine="424" w:firstLineChars="202"/>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本产品七日年化收益率根据市场利率的变化以及实际投资运作的情况计算，计算方式如下：</w:t>
      </w:r>
    </w:p>
    <w:p>
      <w:pPr>
        <w:widowControl/>
        <w:adjustRightInd/>
        <w:spacing w:line="240" w:lineRule="auto"/>
        <w:ind w:right="0" w:firstLine="420" w:firstLineChars="200"/>
        <w:jc w:val="left"/>
        <w:rPr>
          <w:rFonts w:ascii="宋体" w:hAnsi="宋体" w:eastAsia="宋体" w:cs="宋体"/>
          <w:sz w:val="24"/>
          <w:szCs w:val="24"/>
        </w:rPr>
      </w:pPr>
      <w:r>
        <w:rPr>
          <w:rFonts w:cs="宋体" w:asciiTheme="minorEastAsia" w:hAnsiTheme="minorEastAsia" w:eastAsiaTheme="minorEastAsia"/>
          <w:bCs/>
          <w:iCs/>
          <w:color w:val="000000"/>
          <w:szCs w:val="21"/>
        </w:rPr>
        <w:drawing>
          <wp:inline distT="0" distB="0" distL="0" distR="0">
            <wp:extent cx="3089910" cy="579755"/>
            <wp:effectExtent l="0" t="0" r="0" b="0"/>
            <wp:docPr id="4" name="图片 4" descr="D:\Users\18100361\AppData\Local\Microsoft\Windows\INetCache\Content.MSO\AA6E5A1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Users\18100361\AppData\Local\Microsoft\Windows\INetCache\Content.MSO\AA6E5A1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48191" cy="590916"/>
                    </a:xfrm>
                    <a:prstGeom prst="rect">
                      <a:avLst/>
                    </a:prstGeom>
                    <a:noFill/>
                    <a:ln>
                      <a:noFill/>
                    </a:ln>
                  </pic:spPr>
                </pic:pic>
              </a:graphicData>
            </a:graphic>
          </wp:inline>
        </w:drawing>
      </w:r>
    </w:p>
    <w:p>
      <w:pPr>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其中，Ri为最近第i个自然日(包括计算当日)的每万份理财计划已实现收益。</w:t>
      </w:r>
    </w:p>
    <w:p>
      <w:pPr>
        <w:widowControl/>
        <w:adjustRightInd/>
        <w:spacing w:line="360" w:lineRule="auto"/>
        <w:ind w:right="0" w:firstLine="420" w:firstLineChars="200"/>
        <w:jc w:val="left"/>
        <w:rPr>
          <w:rFonts w:ascii="宋体" w:hAnsi="宋体" w:eastAsia="宋体" w:cs="宋体"/>
          <w:sz w:val="24"/>
          <w:szCs w:val="24"/>
        </w:rPr>
      </w:pPr>
      <w:r>
        <w:rPr>
          <w:rFonts w:hint="eastAsia" w:cs="宋体" w:asciiTheme="minorEastAsia" w:hAnsiTheme="minorEastAsia" w:eastAsiaTheme="minorEastAsia"/>
          <w:bCs/>
          <w:iCs/>
          <w:color w:val="000000"/>
          <w:szCs w:val="21"/>
        </w:rPr>
        <w:t>7日年化收益率采用四舍五入保留至百分号内小数点后2位。</w:t>
      </w:r>
    </w:p>
    <w:p>
      <w:pPr>
        <w:spacing w:line="360" w:lineRule="auto"/>
        <w:ind w:firstLine="424" w:firstLineChars="202"/>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本产品存续期间理财收益分配的具体规则如下：</w:t>
      </w:r>
    </w:p>
    <w:p>
      <w:pPr>
        <w:tabs>
          <w:tab w:val="left" w:pos="426"/>
        </w:tabs>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（1）</w:t>
      </w:r>
      <w:r>
        <w:rPr>
          <w:rFonts w:cs="宋体" w:asciiTheme="minorEastAsia" w:hAnsiTheme="minorEastAsia" w:eastAsiaTheme="minorEastAsia"/>
          <w:bCs/>
          <w:iCs/>
          <w:color w:val="000000"/>
          <w:szCs w:val="21"/>
        </w:rPr>
        <w:t>本产品每一份份额享有同等分配权</w:t>
      </w:r>
      <w:r>
        <w:rPr>
          <w:rFonts w:hint="eastAsia" w:cs="宋体" w:asciiTheme="minorEastAsia" w:hAnsiTheme="minorEastAsia" w:eastAsiaTheme="minorEastAsia"/>
          <w:bCs/>
          <w:iCs/>
          <w:color w:val="000000"/>
          <w:szCs w:val="21"/>
        </w:rPr>
        <w:t>。</w:t>
      </w:r>
    </w:p>
    <w:p>
      <w:pPr>
        <w:tabs>
          <w:tab w:val="left" w:pos="426"/>
        </w:tabs>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2）工作日工作时间发起认购/申购的产品份额自下一个工作日起，享有本产品的收益分配权益；工作日工作时间发起赎回的产品份额自下一个工作日起，不享有本产品的收益分配权益。工作日非工作时间发起的申赎等同于下一个工作日工作时间发起的申赎。</w:t>
      </w:r>
    </w:p>
    <w:p>
      <w:pPr>
        <w:tabs>
          <w:tab w:val="left" w:pos="426"/>
        </w:tabs>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（3）适用于收益分配方式为红利再投资的份额：</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1）本理财产品根据每日收益情况，以理财产品实际收益为基准，每日为投资者计提当日理财收益，并每日结转份额。投资者每个工作日分配的收益=【当日总未付理财收益/理财产品总份额×投资者持有理财产品份额】（保留两位小数，去尾并进行再次分配，直到分完为止）。</w:t>
      </w:r>
    </w:p>
    <w:p>
      <w:pPr>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2）投资者每个工作日分配的收益结转为理财产品份额并参与下一工作日收益分配；</w:t>
      </w:r>
    </w:p>
    <w:p>
      <w:pPr>
        <w:spacing w:line="360" w:lineRule="auto"/>
        <w:ind w:firstLine="424" w:firstLineChars="202"/>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3）若当个工作日总未付理财收益大于零时，则按投资者的应分配收益转结为其持有的产品份额；若当个工作日已实现收益等于零时，则投资者持有的产品份额不变；产品管理人将采取必要措施尽量避免产品当个工作日已实现收益小于零，若当个工作日已实现收益小于零时，则缩减投资者持有的产品份额。</w:t>
      </w:r>
    </w:p>
    <w:p>
      <w:pPr>
        <w:spacing w:line="360" w:lineRule="auto"/>
        <w:ind w:firstLine="424" w:firstLineChars="202"/>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4.在符合法律法规及理财产品合同约</w:t>
      </w:r>
      <w:r>
        <w:rPr>
          <w:rFonts w:hint="eastAsia" w:cs="宋体" w:asciiTheme="minorEastAsia" w:hAnsiTheme="minorEastAsia" w:eastAsiaTheme="minorEastAsia"/>
          <w:bCs/>
          <w:iCs/>
          <w:color w:val="000000"/>
          <w:szCs w:val="21"/>
        </w:rPr>
        <w:t>定，并对理财产品投资者利益无实质不利影响的前提下，管理人可提前【2】个工作日通知投资者，对期间收益分配原则及方式进行调整。</w:t>
      </w:r>
    </w:p>
    <w:p>
      <w:pPr>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（二）</w:t>
      </w:r>
      <w:r>
        <w:rPr>
          <w:rFonts w:hint="eastAsia" w:cs="宋体" w:asciiTheme="minorEastAsia" w:hAnsiTheme="minorEastAsia" w:eastAsiaTheme="minorEastAsia"/>
          <w:b/>
          <w:bCs/>
          <w:iCs/>
          <w:color w:val="000000"/>
          <w:szCs w:val="21"/>
        </w:rPr>
        <w:t>终止分配</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1．理财产品终止日，如理财产品项下</w:t>
      </w:r>
      <w:r>
        <w:rPr>
          <w:rFonts w:hint="eastAsia" w:cs="宋体" w:asciiTheme="minorEastAsia" w:hAnsiTheme="minorEastAsia" w:eastAsiaTheme="minorEastAsia"/>
          <w:bCs/>
          <w:iCs/>
          <w:color w:val="000000"/>
          <w:szCs w:val="21"/>
        </w:rPr>
        <w:t>资产</w:t>
      </w:r>
      <w:r>
        <w:rPr>
          <w:rFonts w:cs="宋体" w:asciiTheme="minorEastAsia" w:hAnsiTheme="minorEastAsia" w:eastAsiaTheme="minorEastAsia"/>
          <w:bCs/>
          <w:iCs/>
          <w:color w:val="000000"/>
          <w:szCs w:val="21"/>
        </w:rPr>
        <w:t>全部变现，管理人在扣除应由理财产品承担的税费及费用（包括但不限于固定管理费</w:t>
      </w:r>
      <w:r>
        <w:rPr>
          <w:rFonts w:hint="eastAsia" w:asciiTheme="minorEastAsia" w:hAnsiTheme="minorEastAsia" w:eastAsiaTheme="minorEastAsia"/>
          <w:color w:val="000000"/>
          <w:szCs w:val="21"/>
        </w:rPr>
        <w:t>、</w:t>
      </w:r>
      <w:r>
        <w:rPr>
          <w:rFonts w:cs="宋体" w:asciiTheme="minorEastAsia" w:hAnsiTheme="minorEastAsia" w:eastAsiaTheme="minorEastAsia"/>
          <w:bCs/>
          <w:iCs/>
          <w:color w:val="000000"/>
          <w:szCs w:val="21"/>
        </w:rPr>
        <w:t>托管费等</w:t>
      </w:r>
      <w:r>
        <w:rPr>
          <w:rFonts w:hint="eastAsia" w:cs="宋体" w:asciiTheme="minorEastAsia" w:hAnsiTheme="minorEastAsia" w:eastAsiaTheme="minorEastAsia"/>
          <w:bCs/>
          <w:iCs/>
          <w:color w:val="000000"/>
          <w:szCs w:val="21"/>
        </w:rPr>
        <w:t>，如有</w:t>
      </w:r>
      <w:r>
        <w:rPr>
          <w:rFonts w:cs="宋体" w:asciiTheme="minorEastAsia" w:hAnsiTheme="minorEastAsia" w:eastAsiaTheme="minorEastAsia"/>
          <w:bCs/>
          <w:iCs/>
          <w:color w:val="000000"/>
          <w:szCs w:val="21"/>
        </w:rPr>
        <w:t>）后</w:t>
      </w:r>
      <w:r>
        <w:rPr>
          <w:rFonts w:hint="eastAsia" w:cs="宋体" w:asciiTheme="minorEastAsia" w:hAnsiTheme="minorEastAsia" w:eastAsiaTheme="minorEastAsia"/>
          <w:bCs/>
          <w:iCs/>
          <w:color w:val="000000"/>
          <w:szCs w:val="21"/>
        </w:rPr>
        <w:t>的5个工作日内向</w:t>
      </w:r>
      <w:r>
        <w:rPr>
          <w:rFonts w:cs="宋体" w:asciiTheme="minorEastAsia" w:hAnsiTheme="minorEastAsia" w:eastAsiaTheme="minorEastAsia"/>
          <w:bCs/>
          <w:iCs/>
          <w:color w:val="000000"/>
          <w:szCs w:val="21"/>
        </w:rPr>
        <w:t>投资者</w:t>
      </w:r>
      <w:r>
        <w:rPr>
          <w:rFonts w:hint="eastAsia" w:cs="宋体" w:asciiTheme="minorEastAsia" w:hAnsiTheme="minorEastAsia" w:eastAsiaTheme="minorEastAsia"/>
          <w:bCs/>
          <w:iCs/>
          <w:color w:val="000000"/>
          <w:szCs w:val="21"/>
        </w:rPr>
        <w:t>分配，投资者</w:t>
      </w:r>
      <w:r>
        <w:rPr>
          <w:rFonts w:cs="宋体" w:asciiTheme="minorEastAsia" w:hAnsiTheme="minorEastAsia" w:eastAsiaTheme="minorEastAsia"/>
          <w:bCs/>
          <w:iCs/>
          <w:color w:val="000000"/>
          <w:szCs w:val="21"/>
        </w:rPr>
        <w:t>可得</w:t>
      </w:r>
      <w:r>
        <w:rPr>
          <w:rFonts w:hint="eastAsia" w:cs="宋体" w:asciiTheme="minorEastAsia" w:hAnsiTheme="minorEastAsia" w:eastAsiaTheme="minorEastAsia"/>
          <w:bCs/>
          <w:iCs/>
          <w:color w:val="000000"/>
          <w:szCs w:val="21"/>
        </w:rPr>
        <w:t>理财产品利益</w:t>
      </w:r>
      <w:r>
        <w:rPr>
          <w:rFonts w:cs="宋体" w:asciiTheme="minorEastAsia" w:hAnsiTheme="minorEastAsia" w:eastAsiaTheme="minorEastAsia"/>
          <w:bCs/>
          <w:iCs/>
          <w:color w:val="000000"/>
          <w:szCs w:val="21"/>
        </w:rPr>
        <w:t>计算公式如下：</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投资者应得资金=到期日某类份额可分配的总金额/该类份额的总份额*投资者的持有份额</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2</w:t>
      </w:r>
      <w:r>
        <w:rPr>
          <w:rFonts w:cs="宋体" w:asciiTheme="minorEastAsia" w:hAnsiTheme="minorEastAsia" w:eastAsiaTheme="minorEastAsia"/>
          <w:bCs/>
          <w:iCs/>
          <w:color w:val="000000"/>
          <w:szCs w:val="21"/>
        </w:rPr>
        <w:t>.</w:t>
      </w:r>
      <w:r>
        <w:rPr>
          <w:rFonts w:hint="eastAsia" w:cs="宋体" w:asciiTheme="minorEastAsia" w:hAnsiTheme="minorEastAsia" w:eastAsiaTheme="minorEastAsia"/>
          <w:bCs/>
          <w:iCs/>
          <w:color w:val="000000"/>
          <w:szCs w:val="21"/>
        </w:rPr>
        <w:t>理财产品终止日，</w:t>
      </w:r>
      <w:r>
        <w:rPr>
          <w:rFonts w:cs="宋体" w:asciiTheme="minorEastAsia" w:hAnsiTheme="minorEastAsia" w:eastAsiaTheme="minorEastAsia"/>
          <w:bCs/>
          <w:iCs/>
          <w:color w:val="000000"/>
          <w:szCs w:val="21"/>
        </w:rPr>
        <w:t>如理财产品项下</w:t>
      </w:r>
      <w:r>
        <w:rPr>
          <w:rFonts w:hint="eastAsia" w:cs="宋体" w:asciiTheme="minorEastAsia" w:hAnsiTheme="minorEastAsia" w:eastAsiaTheme="minorEastAsia"/>
          <w:bCs/>
          <w:iCs/>
          <w:color w:val="000000"/>
          <w:szCs w:val="21"/>
        </w:rPr>
        <w:t>资产</w:t>
      </w:r>
      <w:r>
        <w:rPr>
          <w:rFonts w:cs="宋体" w:asciiTheme="minorEastAsia" w:hAnsiTheme="minorEastAsia" w:eastAsiaTheme="minorEastAsia"/>
          <w:bCs/>
          <w:iCs/>
          <w:color w:val="000000"/>
          <w:szCs w:val="21"/>
        </w:rPr>
        <w:t>因市场风险、信用风险等原因不能全部变现，管理人将现金类资产扣除应由理财产品承担的税费及费用（包括但不限于固定管理费</w:t>
      </w:r>
      <w:r>
        <w:rPr>
          <w:rFonts w:hint="eastAsia" w:asciiTheme="minorEastAsia" w:hAnsiTheme="minorEastAsia" w:eastAsiaTheme="minorEastAsia"/>
          <w:color w:val="000000"/>
          <w:szCs w:val="21"/>
        </w:rPr>
        <w:t>、</w:t>
      </w:r>
      <w:r>
        <w:rPr>
          <w:rFonts w:cs="宋体" w:asciiTheme="minorEastAsia" w:hAnsiTheme="minorEastAsia" w:eastAsiaTheme="minorEastAsia"/>
          <w:bCs/>
          <w:iCs/>
          <w:color w:val="000000"/>
          <w:szCs w:val="21"/>
        </w:rPr>
        <w:t>托管费等</w:t>
      </w:r>
      <w:r>
        <w:rPr>
          <w:rFonts w:hint="eastAsia" w:cs="宋体" w:asciiTheme="minorEastAsia" w:hAnsiTheme="minorEastAsia" w:eastAsiaTheme="minorEastAsia"/>
          <w:bCs/>
          <w:iCs/>
          <w:color w:val="000000"/>
          <w:szCs w:val="21"/>
        </w:rPr>
        <w:t>，如有</w:t>
      </w:r>
      <w:r>
        <w:rPr>
          <w:rFonts w:cs="宋体" w:asciiTheme="minorEastAsia" w:hAnsiTheme="minorEastAsia" w:eastAsiaTheme="minorEastAsia"/>
          <w:bCs/>
          <w:iCs/>
          <w:color w:val="000000"/>
          <w:szCs w:val="21"/>
        </w:rPr>
        <w:t>）后，按照各投资者持有理财产品份额比例向投资者分配。对于未变现资产部分，管理人以投资者利益最大化的原则，寻求未变现资产变现方式，在资产变现后，扣除应由理财产品承担的税费及费用（包括但不限于固定管理费、托管费等</w:t>
      </w:r>
      <w:r>
        <w:rPr>
          <w:rFonts w:hint="eastAsia" w:cs="宋体" w:asciiTheme="minorEastAsia" w:hAnsiTheme="minorEastAsia" w:eastAsiaTheme="minorEastAsia"/>
          <w:bCs/>
          <w:iCs/>
          <w:color w:val="000000"/>
          <w:szCs w:val="21"/>
        </w:rPr>
        <w:t>以及</w:t>
      </w:r>
      <w:r>
        <w:rPr>
          <w:rFonts w:cs="宋体" w:asciiTheme="minorEastAsia" w:hAnsiTheme="minorEastAsia" w:eastAsiaTheme="minorEastAsia"/>
          <w:bCs/>
          <w:iCs/>
          <w:color w:val="000000"/>
          <w:szCs w:val="21"/>
        </w:rPr>
        <w:t>由管理人、第三方垫付的费用</w:t>
      </w:r>
      <w:r>
        <w:rPr>
          <w:rFonts w:hint="eastAsia" w:cs="宋体" w:asciiTheme="minorEastAsia" w:hAnsiTheme="minorEastAsia" w:eastAsiaTheme="minorEastAsia"/>
          <w:bCs/>
          <w:iCs/>
          <w:color w:val="000000"/>
          <w:szCs w:val="21"/>
        </w:rPr>
        <w:t>，如有</w:t>
      </w:r>
      <w:r>
        <w:rPr>
          <w:rFonts w:cs="宋体" w:asciiTheme="minorEastAsia" w:hAnsiTheme="minorEastAsia" w:eastAsiaTheme="minorEastAsia"/>
          <w:bCs/>
          <w:iCs/>
          <w:color w:val="000000"/>
          <w:szCs w:val="21"/>
        </w:rPr>
        <w:t>）后，按照各投资者持有理财产品份额比例向投资者分配</w:t>
      </w:r>
      <w:r>
        <w:rPr>
          <w:rFonts w:hint="eastAsia"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.投资者通过代销机构渠道购买理财产品的，理财资金划转至投资者账户的时间以对应销售机构的清算时间为准。</w:t>
      </w:r>
    </w:p>
    <w:p>
      <w:pPr>
        <w:snapToGrid w:val="0"/>
        <w:spacing w:before="240" w:beforeLines="100" w:after="120" w:afterLines="50" w:line="360" w:lineRule="auto"/>
        <w:ind w:right="2" w:rightChars="1"/>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九、理财产品</w:t>
      </w:r>
      <w:r>
        <w:rPr>
          <w:rFonts w:asciiTheme="minorEastAsia" w:hAnsiTheme="minorEastAsia" w:eastAsiaTheme="minorEastAsia"/>
          <w:b/>
          <w:szCs w:val="21"/>
        </w:rPr>
        <w:t>终止与清算</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（一）理财产品的终止</w:t>
      </w:r>
    </w:p>
    <w:p>
      <w:pPr>
        <w:spacing w:line="360" w:lineRule="auto"/>
        <w:ind w:firstLine="36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
          <w:bCs/>
          <w:iCs/>
          <w:color w:val="000000"/>
          <w:szCs w:val="21"/>
        </w:rPr>
        <w:t>在理财产品存续期限内，投资者无权要求终止本理财产品</w:t>
      </w:r>
      <w:r>
        <w:rPr>
          <w:rFonts w:hint="eastAsia" w:cs="宋体" w:asciiTheme="minorEastAsia" w:hAnsiTheme="minorEastAsia" w:eastAsiaTheme="minorEastAsia"/>
          <w:bCs/>
          <w:iCs/>
          <w:color w:val="000000"/>
          <w:szCs w:val="21"/>
        </w:rPr>
        <w:t>；出现下列情形之一的，管理人有权终止本理财产品：</w:t>
      </w:r>
    </w:p>
    <w:p>
      <w:pPr>
        <w:spacing w:line="360" w:lineRule="auto"/>
        <w:ind w:firstLine="36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发生不可抗力事件导致理财产品不能存续；</w:t>
      </w:r>
    </w:p>
    <w:p>
      <w:pPr>
        <w:spacing w:line="360" w:lineRule="auto"/>
        <w:ind w:firstLine="36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（2）理财产品被法院或仲裁机构依法撤销、被认定为无效或被判决、裁定终止或被监管机构要求终止的；</w:t>
      </w:r>
    </w:p>
    <w:p>
      <w:pPr>
        <w:spacing w:line="360" w:lineRule="auto"/>
        <w:ind w:firstLine="36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）因投资者理财资金被有权机关扣划等原因导致理财产品剩余资产无法满足相关法律法规规定、所投资市场要求或协议等相关法律文件约定，理财产品继续存续无法实现投资目标；</w:t>
      </w:r>
    </w:p>
    <w:p>
      <w:pPr>
        <w:spacing w:line="360" w:lineRule="auto"/>
        <w:ind w:firstLine="36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4</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国家金融政策出现重大调整或宏观经济形势发生重大变化</w:t>
      </w:r>
      <w:r>
        <w:rPr>
          <w:rFonts w:hint="eastAsia" w:cs="宋体" w:asciiTheme="minorEastAsia" w:hAnsiTheme="minorEastAsia" w:eastAsiaTheme="minorEastAsia"/>
          <w:bCs/>
          <w:iCs/>
          <w:color w:val="000000"/>
          <w:szCs w:val="21"/>
        </w:rPr>
        <w:t>导致</w:t>
      </w:r>
      <w:r>
        <w:rPr>
          <w:rFonts w:cs="宋体" w:asciiTheme="minorEastAsia" w:hAnsiTheme="minorEastAsia" w:eastAsiaTheme="minorEastAsia"/>
          <w:bCs/>
          <w:iCs/>
          <w:color w:val="000000"/>
          <w:szCs w:val="21"/>
        </w:rPr>
        <w:t>产品</w:t>
      </w:r>
      <w:r>
        <w:rPr>
          <w:rFonts w:hint="eastAsia" w:cs="宋体" w:asciiTheme="minorEastAsia" w:hAnsiTheme="minorEastAsia" w:eastAsiaTheme="minorEastAsia"/>
          <w:bCs/>
          <w:iCs/>
          <w:color w:val="000000"/>
          <w:szCs w:val="21"/>
        </w:rPr>
        <w:t>无法继续正常运作</w:t>
      </w:r>
      <w:r>
        <w:rPr>
          <w:rFonts w:cs="宋体" w:asciiTheme="minorEastAsia" w:hAnsiTheme="minorEastAsia" w:eastAsiaTheme="minorEastAsia"/>
          <w:bCs/>
          <w:iCs/>
          <w:color w:val="000000"/>
          <w:szCs w:val="21"/>
        </w:rPr>
        <w:t>；</w:t>
      </w:r>
    </w:p>
    <w:p>
      <w:pPr>
        <w:spacing w:line="360" w:lineRule="auto"/>
        <w:ind w:firstLine="36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）遇有市场出现剧烈波动、异常风险事件等情形导致理财产品净值出现大幅波动或严重影响理财产品的资产安全；</w:t>
      </w:r>
    </w:p>
    <w:p>
      <w:pPr>
        <w:spacing w:line="360" w:lineRule="auto"/>
        <w:ind w:firstLine="36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6</w:t>
      </w:r>
      <w:r>
        <w:rPr>
          <w:rFonts w:hint="eastAsia" w:cs="宋体" w:asciiTheme="minorEastAsia" w:hAnsiTheme="minorEastAsia" w:eastAsiaTheme="minorEastAsia"/>
          <w:bCs/>
          <w:iCs/>
          <w:color w:val="000000"/>
          <w:szCs w:val="21"/>
        </w:rPr>
        <w:t>）本理财产品所投资产涉及的相关主体信用恶化，市场利率大幅下滑等情况的；</w:t>
      </w:r>
    </w:p>
    <w:p>
      <w:pPr>
        <w:spacing w:line="360" w:lineRule="auto"/>
        <w:ind w:firstLine="36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7</w:t>
      </w:r>
      <w:r>
        <w:rPr>
          <w:rFonts w:hint="eastAsia" w:cs="宋体" w:asciiTheme="minorEastAsia" w:hAnsiTheme="minorEastAsia" w:eastAsiaTheme="minorEastAsia"/>
          <w:bCs/>
          <w:iCs/>
          <w:color w:val="000000"/>
          <w:szCs w:val="21"/>
        </w:rPr>
        <w:t>）本理财产品所投资资产（包括所投资的信托计划、资管计划等产品</w:t>
      </w:r>
      <w:r>
        <w:rPr>
          <w:rFonts w:cs="宋体" w:asciiTheme="minorEastAsia" w:hAnsiTheme="minorEastAsia" w:eastAsiaTheme="minorEastAsia"/>
          <w:bCs/>
          <w:iCs/>
          <w:color w:val="000000"/>
          <w:szCs w:val="21"/>
        </w:rPr>
        <w:t>）</w:t>
      </w:r>
      <w:r>
        <w:rPr>
          <w:rFonts w:hint="eastAsia" w:cs="宋体" w:asciiTheme="minorEastAsia" w:hAnsiTheme="minorEastAsia" w:eastAsiaTheme="minorEastAsia"/>
          <w:bCs/>
          <w:iCs/>
          <w:color w:val="000000"/>
          <w:szCs w:val="21"/>
        </w:rPr>
        <w:t>全部变现或全部</w:t>
      </w:r>
      <w:r>
        <w:rPr>
          <w:rFonts w:cs="宋体" w:asciiTheme="minorEastAsia" w:hAnsiTheme="minorEastAsia" w:eastAsiaTheme="minorEastAsia"/>
          <w:bCs/>
          <w:iCs/>
          <w:color w:val="000000"/>
          <w:szCs w:val="21"/>
        </w:rPr>
        <w:t>提前</w:t>
      </w:r>
      <w:r>
        <w:rPr>
          <w:rFonts w:hint="eastAsia" w:cs="宋体" w:asciiTheme="minorEastAsia" w:hAnsiTheme="minorEastAsia" w:eastAsiaTheme="minorEastAsia"/>
          <w:bCs/>
          <w:iCs/>
          <w:color w:val="000000"/>
          <w:szCs w:val="21"/>
        </w:rPr>
        <w:t>到期或未形成</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8</w:t>
      </w:r>
      <w:r>
        <w:rPr>
          <w:rFonts w:hint="eastAsia" w:cs="宋体" w:asciiTheme="minorEastAsia" w:hAnsiTheme="minorEastAsia" w:eastAsiaTheme="minorEastAsia"/>
          <w:bCs/>
          <w:iCs/>
          <w:color w:val="000000"/>
          <w:szCs w:val="21"/>
        </w:rPr>
        <w:t>）管理人有合理理由认为将影响本产品正常运作的其他情形；</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9</w:t>
      </w:r>
      <w:r>
        <w:rPr>
          <w:rFonts w:hint="eastAsia" w:cs="宋体" w:asciiTheme="minorEastAsia" w:hAnsiTheme="minorEastAsia" w:eastAsiaTheme="minorEastAsia"/>
          <w:bCs/>
          <w:iCs/>
          <w:color w:val="000000"/>
          <w:szCs w:val="21"/>
        </w:rPr>
        <w:t>）由于法律法规、监管规定及政策</w:t>
      </w:r>
      <w:r>
        <w:rPr>
          <w:rFonts w:hint="eastAsia" w:asciiTheme="minorEastAsia" w:hAnsiTheme="minorEastAsia" w:eastAsiaTheme="minorEastAsia"/>
          <w:color w:val="000000" w:themeColor="text1"/>
          <w:szCs w:val="21"/>
          <w14:textFill>
            <w14:solidFill>
              <w14:schemeClr w14:val="tx1"/>
            </w14:solidFill>
          </w14:textFill>
        </w:rPr>
        <w:t>要求</w:t>
      </w:r>
      <w:r>
        <w:rPr>
          <w:rFonts w:hint="eastAsia" w:cs="宋体" w:asciiTheme="minorEastAsia" w:hAnsiTheme="minorEastAsia" w:eastAsiaTheme="minorEastAsia"/>
          <w:bCs/>
          <w:iCs/>
          <w:color w:val="000000"/>
          <w:szCs w:val="21"/>
        </w:rPr>
        <w:t>需要终止产品的。</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如管理人决定</w:t>
      </w:r>
      <w:r>
        <w:rPr>
          <w:rFonts w:hint="eastAsia" w:cs="宋体" w:asciiTheme="minorEastAsia" w:hAnsiTheme="minorEastAsia" w:eastAsiaTheme="minorEastAsia"/>
          <w:bCs/>
          <w:iCs/>
          <w:color w:val="000000"/>
          <w:szCs w:val="21"/>
        </w:rPr>
        <w:t>提前终止本理财产品</w:t>
      </w:r>
      <w:r>
        <w:rPr>
          <w:rFonts w:cs="宋体" w:asciiTheme="minorEastAsia" w:hAnsiTheme="minorEastAsia" w:eastAsiaTheme="minorEastAsia"/>
          <w:bCs/>
          <w:iCs/>
          <w:color w:val="000000"/>
          <w:szCs w:val="21"/>
        </w:rPr>
        <w:t>的，将</w:t>
      </w:r>
      <w:r>
        <w:rPr>
          <w:rFonts w:hint="eastAsia" w:cs="宋体" w:asciiTheme="minorEastAsia" w:hAnsiTheme="minorEastAsia" w:eastAsiaTheme="minorEastAsia"/>
          <w:bCs/>
          <w:iCs/>
          <w:color w:val="000000"/>
          <w:szCs w:val="21"/>
        </w:rPr>
        <w:t>提前</w:t>
      </w:r>
      <w:r>
        <w:rPr>
          <w:rFonts w:cs="宋体" w:asciiTheme="minorEastAsia" w:hAnsiTheme="minorEastAsia" w:eastAsiaTheme="minorEastAsia"/>
          <w:bCs/>
          <w:iCs/>
          <w:color w:val="000000"/>
          <w:szCs w:val="21"/>
        </w:rPr>
        <w:t>向投资者披露。</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终止后，</w:t>
      </w:r>
      <w:r>
        <w:rPr>
          <w:rFonts w:hint="eastAsia" w:cs="宋体" w:asciiTheme="minorEastAsia" w:hAnsiTheme="minorEastAsia" w:eastAsiaTheme="minorEastAsia"/>
          <w:bCs/>
          <w:iCs/>
          <w:color w:val="000000"/>
          <w:szCs w:val="21"/>
        </w:rPr>
        <w:t>产品管理人</w:t>
      </w:r>
      <w:r>
        <w:rPr>
          <w:rFonts w:cs="宋体" w:asciiTheme="minorEastAsia" w:hAnsiTheme="minorEastAsia" w:eastAsiaTheme="minorEastAsia"/>
          <w:bCs/>
          <w:iCs/>
          <w:color w:val="000000"/>
          <w:szCs w:val="21"/>
        </w:rPr>
        <w:t>将根据届时</w:t>
      </w:r>
      <w:r>
        <w:rPr>
          <w:rFonts w:hint="eastAsia" w:cs="宋体" w:asciiTheme="minorEastAsia" w:hAnsiTheme="minorEastAsia" w:eastAsiaTheme="minorEastAsia"/>
          <w:bCs/>
          <w:iCs/>
          <w:color w:val="000000"/>
          <w:szCs w:val="21"/>
        </w:rPr>
        <w:t>有效的法律法规、监管规定</w:t>
      </w:r>
      <w:r>
        <w:rPr>
          <w:rFonts w:cs="宋体" w:asciiTheme="minorEastAsia" w:hAnsiTheme="minorEastAsia" w:eastAsiaTheme="minorEastAsia"/>
          <w:bCs/>
          <w:iCs/>
          <w:color w:val="000000"/>
          <w:szCs w:val="21"/>
        </w:rPr>
        <w:t>以及本理财产品销售文件的约定对本</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进行清算。</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（二）理财产品的清算</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理财产品终止后，产品管理人将根据届时有效的法律法规、监管规定以及本理财产品销售文件的约定对本理财产品进行清算。</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本理财产品清算期原则上不得超过</w:t>
      </w:r>
      <w:r>
        <w:rPr>
          <w:rFonts w:cs="宋体" w:asciiTheme="minorEastAsia" w:hAnsiTheme="minorEastAsia" w:eastAsiaTheme="minorEastAsia"/>
          <w:bCs/>
          <w:iCs/>
          <w:color w:val="000000"/>
          <w:szCs w:val="21"/>
        </w:rPr>
        <w:t>5个工作日，超过5</w:t>
      </w:r>
      <w:r>
        <w:rPr>
          <w:rFonts w:hint="eastAsia" w:cs="宋体" w:asciiTheme="minorEastAsia" w:hAnsiTheme="minorEastAsia" w:eastAsiaTheme="minorEastAsia"/>
          <w:bCs/>
          <w:iCs/>
          <w:color w:val="000000"/>
          <w:szCs w:val="21"/>
        </w:rPr>
        <w:t>个工作日 的，将依约定进行公告。</w:t>
      </w:r>
    </w:p>
    <w:p>
      <w:pPr>
        <w:spacing w:before="240" w:beforeLines="100" w:after="120" w:afterLines="50" w:line="360" w:lineRule="auto"/>
        <w:ind w:right="2" w:rightChars="1"/>
        <w:jc w:val="center"/>
        <w:outlineLvl w:val="1"/>
        <w:rPr>
          <w:rFonts w:asciiTheme="minorEastAsia" w:hAnsiTheme="minorEastAsia" w:eastAsiaTheme="minorEastAsia"/>
          <w:b/>
        </w:rPr>
      </w:pPr>
      <w:r>
        <w:rPr>
          <w:rFonts w:hint="eastAsia" w:asciiTheme="minorEastAsia" w:hAnsiTheme="minorEastAsia" w:eastAsiaTheme="minorEastAsia"/>
          <w:b/>
          <w:szCs w:val="21"/>
        </w:rPr>
        <w:t>十</w:t>
      </w:r>
      <w:r>
        <w:rPr>
          <w:rFonts w:hint="eastAsia" w:asciiTheme="minorEastAsia" w:hAnsiTheme="minorEastAsia" w:eastAsiaTheme="minorEastAsia"/>
          <w:b/>
        </w:rPr>
        <w:t>、理财产品</w:t>
      </w:r>
      <w:r>
        <w:rPr>
          <w:rFonts w:asciiTheme="minorEastAsia" w:hAnsiTheme="minorEastAsia" w:eastAsiaTheme="minorEastAsia"/>
          <w:b/>
        </w:rPr>
        <w:t>费用</w:t>
      </w:r>
      <w:r>
        <w:rPr>
          <w:rFonts w:hint="eastAsia" w:asciiTheme="minorEastAsia" w:hAnsiTheme="minorEastAsia" w:eastAsiaTheme="minorEastAsia"/>
          <w:b/>
        </w:rPr>
        <w:t>与税收</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（一）理财产品的</w:t>
      </w:r>
      <w:r>
        <w:rPr>
          <w:rFonts w:cs="宋体" w:asciiTheme="minorEastAsia" w:hAnsiTheme="minorEastAsia" w:eastAsiaTheme="minorEastAsia"/>
          <w:b/>
          <w:bCs/>
          <w:iCs/>
          <w:color w:val="000000"/>
          <w:szCs w:val="21"/>
        </w:rPr>
        <w:t>费用</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费用的种类</w:t>
      </w:r>
    </w:p>
    <w:p>
      <w:pPr>
        <w:spacing w:line="360" w:lineRule="auto"/>
        <w:ind w:firstLine="420"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Cs/>
          <w:iCs/>
          <w:color w:val="000000"/>
          <w:szCs w:val="21"/>
        </w:rPr>
        <w:t>指管理人为成立理财产品及处理理财产品事务目的而支出的所有费用，包括但不限于管理人收取的固定管理费及浮动管理费（如有），托管人收取的托管费，销售机构收取的销售服务费，因其他机构提供管理服务而产生资产服务费（如有）、交易费用（包括但不限于证券交易佣金、撮合费用等），验资费，审计费，律师费，信息披露费，清算费，银行汇划费用，结算费，注册登记费，账户开户费用、账户维护费用、执行费用（包括但不限于直接或间接投资产生的并由理财产品承担的诉讼费、仲裁费、财产保全费、律师费和执行费，以及因诉讼或仲裁之需要而委托中介机构或司法机构进行鉴定、评估等而产生的费用）以及按照监管规定和理财产品销售文件约定可以在产品中列支的其它费用，具体以实际发生为准。</w:t>
      </w:r>
      <w:r>
        <w:rPr>
          <w:rFonts w:hint="eastAsia" w:cs="宋体" w:asciiTheme="minorEastAsia" w:hAnsiTheme="minorEastAsia" w:eastAsiaTheme="minorEastAsia"/>
          <w:b/>
          <w:bCs/>
          <w:iCs/>
          <w:color w:val="000000"/>
          <w:szCs w:val="21"/>
        </w:rPr>
        <w:t>此外，投资者认购</w:t>
      </w:r>
      <w:r>
        <w:rPr>
          <w:rFonts w:cs="宋体" w:asciiTheme="minorEastAsia" w:hAnsiTheme="minorEastAsia" w:eastAsiaTheme="minorEastAsia"/>
          <w:b/>
          <w:bCs/>
          <w:iCs/>
          <w:color w:val="000000"/>
          <w:szCs w:val="21"/>
        </w:rPr>
        <w:t>/</w:t>
      </w:r>
      <w:r>
        <w:rPr>
          <w:rFonts w:hint="eastAsia" w:cs="宋体" w:asciiTheme="minorEastAsia" w:hAnsiTheme="minorEastAsia" w:eastAsiaTheme="minorEastAsia"/>
          <w:b/>
          <w:bCs/>
          <w:iCs/>
          <w:color w:val="000000"/>
          <w:szCs w:val="21"/>
        </w:rPr>
        <w:t>申购或赎回本理财产品时，需按约定支付认购</w:t>
      </w:r>
      <w:r>
        <w:rPr>
          <w:rFonts w:cs="宋体" w:asciiTheme="minorEastAsia" w:hAnsiTheme="minorEastAsia" w:eastAsiaTheme="minorEastAsia"/>
          <w:b/>
          <w:bCs/>
          <w:iCs/>
          <w:color w:val="000000"/>
          <w:szCs w:val="21"/>
        </w:rPr>
        <w:t>/</w:t>
      </w:r>
      <w:r>
        <w:rPr>
          <w:rFonts w:hint="eastAsia" w:cs="宋体" w:asciiTheme="minorEastAsia" w:hAnsiTheme="minorEastAsia" w:eastAsiaTheme="minorEastAsia"/>
          <w:b/>
          <w:bCs/>
          <w:iCs/>
          <w:color w:val="000000"/>
          <w:szCs w:val="21"/>
        </w:rPr>
        <w:t>申购费或赎回费（如有，含强制赎回费），认购</w:t>
      </w:r>
      <w:r>
        <w:rPr>
          <w:rFonts w:cs="宋体" w:asciiTheme="minorEastAsia" w:hAnsiTheme="minorEastAsia" w:eastAsiaTheme="minorEastAsia"/>
          <w:b/>
          <w:bCs/>
          <w:iCs/>
          <w:color w:val="000000"/>
          <w:szCs w:val="21"/>
        </w:rPr>
        <w:t>/</w:t>
      </w:r>
      <w:r>
        <w:rPr>
          <w:rFonts w:hint="eastAsia" w:cs="宋体" w:asciiTheme="minorEastAsia" w:hAnsiTheme="minorEastAsia" w:eastAsiaTheme="minorEastAsia"/>
          <w:b/>
          <w:bCs/>
          <w:iCs/>
          <w:color w:val="000000"/>
          <w:szCs w:val="21"/>
        </w:rPr>
        <w:t>申购费、赎回费不属于理财产品费用，不由理财产品承担，由投资者承担并于认购</w:t>
      </w:r>
      <w:r>
        <w:rPr>
          <w:rFonts w:cs="宋体" w:asciiTheme="minorEastAsia" w:hAnsiTheme="minorEastAsia" w:eastAsiaTheme="minorEastAsia"/>
          <w:b/>
          <w:bCs/>
          <w:iCs/>
          <w:color w:val="000000"/>
          <w:szCs w:val="21"/>
        </w:rPr>
        <w:t>/</w:t>
      </w:r>
      <w:r>
        <w:rPr>
          <w:rFonts w:hint="eastAsia" w:cs="宋体" w:asciiTheme="minorEastAsia" w:hAnsiTheme="minorEastAsia" w:eastAsiaTheme="minorEastAsia"/>
          <w:b/>
          <w:bCs/>
          <w:iCs/>
          <w:color w:val="000000"/>
          <w:szCs w:val="21"/>
        </w:rPr>
        <w:t>申购或赎回份额时支付。</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理财产品费用按</w:t>
      </w:r>
      <w:r>
        <w:rPr>
          <w:rFonts w:hint="eastAsia" w:asciiTheme="minorEastAsia" w:hAnsiTheme="minorEastAsia" w:eastAsiaTheme="minorEastAsia"/>
          <w:bCs/>
          <w:iCs/>
          <w:color w:val="000000"/>
          <w:szCs w:val="21"/>
        </w:rPr>
        <w:t>本《产品说明书》</w:t>
      </w:r>
      <w:r>
        <w:rPr>
          <w:rFonts w:hint="eastAsia" w:cs="宋体" w:asciiTheme="minorEastAsia" w:hAnsiTheme="minorEastAsia" w:eastAsiaTheme="minorEastAsia"/>
          <w:bCs/>
          <w:iCs/>
          <w:color w:val="000000"/>
          <w:szCs w:val="21"/>
        </w:rPr>
        <w:t>及管理人与费用收取方之间的协议约定从理财产品资产中支付。管理人或理财产品参与方以固有财产先行垫付的，有权从理财产品资产中优先受偿。</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w:t>
      </w:r>
      <w:r>
        <w:rPr>
          <w:rFonts w:hint="eastAsia" w:cs="宋体" w:asciiTheme="minorEastAsia" w:hAnsiTheme="minorEastAsia" w:eastAsiaTheme="minorEastAsia"/>
          <w:bCs/>
          <w:iCs/>
          <w:color w:val="000000"/>
          <w:szCs w:val="21"/>
        </w:rPr>
        <w:t>费用的计提方法、计提标准和支付方式</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1）销售</w:t>
      </w:r>
      <w:r>
        <w:rPr>
          <w:rFonts w:hint="eastAsia" w:cs="宋体" w:asciiTheme="minorEastAsia" w:hAnsiTheme="minorEastAsia" w:eastAsiaTheme="minorEastAsia"/>
          <w:bCs/>
          <w:iCs/>
          <w:color w:val="000000"/>
          <w:szCs w:val="21"/>
        </w:rPr>
        <w:t>服务</w:t>
      </w:r>
      <w:r>
        <w:rPr>
          <w:rFonts w:cs="宋体" w:asciiTheme="minorEastAsia" w:hAnsiTheme="minorEastAsia" w:eastAsiaTheme="minorEastAsia"/>
          <w:bCs/>
          <w:iCs/>
          <w:color w:val="000000"/>
          <w:szCs w:val="21"/>
        </w:rPr>
        <w:t>费</w:t>
      </w:r>
      <w:r>
        <w:rPr>
          <w:rFonts w:hint="eastAsia" w:cs="宋体" w:asciiTheme="minorEastAsia" w:hAnsiTheme="minorEastAsia" w:eastAsiaTheme="minorEastAsia"/>
          <w:bCs/>
          <w:iCs/>
          <w:color w:val="000000"/>
          <w:szCs w:val="21"/>
        </w:rPr>
        <w:t>：销售机构收取销售服务费，每日计提，按期收取。具体计算公式为：每个自然日计提的销售服务费=当日理财产品份额×销售服务费率÷365</w:t>
      </w:r>
      <w:r>
        <w:rPr>
          <w:rFonts w:cs="宋体" w:asciiTheme="minorEastAsia" w:hAnsiTheme="minorEastAsia" w:eastAsiaTheme="minorEastAsia"/>
          <w:bCs/>
          <w:iCs/>
          <w:color w:val="000000"/>
          <w:szCs w:val="21"/>
        </w:rPr>
        <w:t>。</w:t>
      </w:r>
      <w:r>
        <w:rPr>
          <w:rFonts w:hint="eastAsia" w:cs="宋体" w:asciiTheme="minorEastAsia" w:hAnsiTheme="minorEastAsia" w:eastAsiaTheme="minorEastAsia"/>
          <w:bCs/>
          <w:iCs/>
          <w:color w:val="000000"/>
          <w:szCs w:val="21"/>
        </w:rPr>
        <w:t>销售服务费率详见本</w:t>
      </w:r>
      <w:r>
        <w:rPr>
          <w:rFonts w:hint="eastAsia" w:asciiTheme="minorEastAsia" w:hAnsiTheme="minorEastAsia" w:eastAsiaTheme="minorEastAsia"/>
          <w:bCs/>
          <w:iCs/>
          <w:color w:val="000000"/>
          <w:szCs w:val="21"/>
        </w:rPr>
        <w:t>《产品说明书》</w:t>
      </w:r>
      <w:r>
        <w:rPr>
          <w:rFonts w:hint="eastAsia" w:asciiTheme="minorEastAsia" w:hAnsiTheme="minorEastAsia" w:eastAsiaTheme="minorEastAsia"/>
          <w:szCs w:val="21"/>
        </w:rPr>
        <w:t>“二、产品概述”</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2）固定管理费：管理人收取</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固定管理费，</w:t>
      </w:r>
      <w:r>
        <w:rPr>
          <w:rFonts w:hint="eastAsia" w:cs="宋体" w:asciiTheme="minorEastAsia" w:hAnsiTheme="minorEastAsia" w:eastAsiaTheme="minorEastAsia"/>
          <w:bCs/>
          <w:iCs/>
          <w:color w:val="000000"/>
          <w:szCs w:val="21"/>
        </w:rPr>
        <w:t>每日计提，按月收取。具体计算公式为：每个自然日计提的固定管理费=当日理财产品份额×固定管理费率÷365。</w:t>
      </w:r>
      <w:r>
        <w:rPr>
          <w:rFonts w:cs="宋体" w:asciiTheme="minorEastAsia" w:hAnsiTheme="minorEastAsia" w:eastAsiaTheme="minorEastAsia"/>
          <w:bCs/>
          <w:iCs/>
          <w:color w:val="000000"/>
          <w:szCs w:val="21"/>
        </w:rPr>
        <w:t>固定管理费率</w:t>
      </w:r>
      <w:r>
        <w:rPr>
          <w:rFonts w:hint="eastAsia" w:asciiTheme="minorEastAsia" w:hAnsiTheme="minorEastAsia" w:eastAsiaTheme="minorEastAsia"/>
          <w:szCs w:val="21"/>
        </w:rPr>
        <w:t>详见</w:t>
      </w:r>
      <w:r>
        <w:rPr>
          <w:rFonts w:hint="eastAsia" w:asciiTheme="minorEastAsia" w:hAnsiTheme="minorEastAsia" w:eastAsiaTheme="minorEastAsia"/>
          <w:bCs/>
          <w:iCs/>
          <w:color w:val="000000"/>
          <w:szCs w:val="21"/>
        </w:rPr>
        <w:t>本《产品说明书》</w:t>
      </w:r>
      <w:r>
        <w:rPr>
          <w:rFonts w:hint="eastAsia" w:asciiTheme="minorEastAsia" w:hAnsiTheme="minorEastAsia" w:eastAsiaTheme="minorEastAsia"/>
          <w:szCs w:val="21"/>
        </w:rPr>
        <w:t>“二、产品概述”</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3）托管费：托管人对本</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收取托管费，</w:t>
      </w:r>
      <w:r>
        <w:rPr>
          <w:rFonts w:hint="eastAsia" w:cs="宋体" w:asciiTheme="minorEastAsia" w:hAnsiTheme="minorEastAsia" w:eastAsiaTheme="minorEastAsia"/>
          <w:bCs/>
          <w:iCs/>
          <w:color w:val="000000"/>
          <w:szCs w:val="21"/>
        </w:rPr>
        <w:t>每日计提，按季收取。具体计算公式为：每个自然日计提的托管费=当日理财产品份额×托管费率÷36</w:t>
      </w: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托管费率</w:t>
      </w:r>
      <w:r>
        <w:rPr>
          <w:rFonts w:hint="eastAsia" w:asciiTheme="minorEastAsia" w:hAnsiTheme="minorEastAsia" w:eastAsiaTheme="minorEastAsia"/>
          <w:szCs w:val="21"/>
        </w:rPr>
        <w:t>详见</w:t>
      </w:r>
      <w:r>
        <w:rPr>
          <w:rFonts w:hint="eastAsia" w:asciiTheme="minorEastAsia" w:hAnsiTheme="minorEastAsia" w:eastAsiaTheme="minorEastAsia"/>
          <w:bCs/>
          <w:iCs/>
          <w:color w:val="000000"/>
          <w:szCs w:val="21"/>
        </w:rPr>
        <w:t>本《产品说明书》</w:t>
      </w:r>
      <w:r>
        <w:rPr>
          <w:rFonts w:hint="eastAsia" w:asciiTheme="minorEastAsia" w:hAnsiTheme="minorEastAsia" w:eastAsiaTheme="minorEastAsia"/>
          <w:szCs w:val="21"/>
        </w:rPr>
        <w:t>“二、产品概述”</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4</w:t>
      </w:r>
      <w:r>
        <w:rPr>
          <w:rFonts w:hint="eastAsia" w:cs="宋体" w:asciiTheme="minorEastAsia" w:hAnsiTheme="minorEastAsia" w:eastAsiaTheme="minorEastAsia"/>
          <w:bCs/>
          <w:iCs/>
          <w:color w:val="000000"/>
          <w:szCs w:val="21"/>
        </w:rPr>
        <w:t>）其他费用：</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因其他机构提供管理服务而产生资产服务费（如有），</w:t>
      </w:r>
      <w:r>
        <w:rPr>
          <w:rFonts w:cs="宋体" w:asciiTheme="minorEastAsia" w:hAnsiTheme="minorEastAsia" w:eastAsiaTheme="minorEastAsia"/>
          <w:bCs/>
          <w:iCs/>
          <w:color w:val="000000"/>
          <w:szCs w:val="21"/>
        </w:rPr>
        <w:t>交易费用（包括但不限于证券交易佣金、撮合费用等），验资费，审计费，律师费，信息披露费，清算费，银行汇划费用，结算费，注册登记费，账户开户费用、账户维护费用、执行费用（包括但不限于</w:t>
      </w:r>
      <w:r>
        <w:rPr>
          <w:rFonts w:hint="eastAsia" w:cs="宋体" w:asciiTheme="minorEastAsia" w:hAnsiTheme="minorEastAsia" w:eastAsiaTheme="minorEastAsia"/>
          <w:bCs/>
          <w:iCs/>
          <w:color w:val="000000"/>
          <w:szCs w:val="21"/>
        </w:rPr>
        <w:t>直接或间接投资产生的并由理财产品承担的</w:t>
      </w:r>
      <w:r>
        <w:rPr>
          <w:rFonts w:cs="宋体" w:asciiTheme="minorEastAsia" w:hAnsiTheme="minorEastAsia" w:eastAsiaTheme="minorEastAsia"/>
          <w:bCs/>
          <w:iCs/>
          <w:color w:val="000000"/>
          <w:szCs w:val="21"/>
        </w:rPr>
        <w:t>诉讼费、仲裁费、财产保全费、律师费和执行费，以及因诉讼或仲裁之需要而委托中介机构或司法机构进行鉴定、评估等而产生的费用）以及按照监管规定和理财产品销售文件约定可以在产品中列支的其它费用，具体以实际发生为准。</w:t>
      </w:r>
    </w:p>
    <w:p>
      <w:pPr>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3.</w:t>
      </w:r>
      <w:r>
        <w:rPr>
          <w:rFonts w:hint="eastAsia" w:cs="宋体" w:asciiTheme="minorEastAsia" w:hAnsiTheme="minorEastAsia" w:eastAsiaTheme="minorEastAsia"/>
          <w:b/>
          <w:bCs/>
          <w:iCs/>
          <w:color w:val="000000"/>
          <w:szCs w:val="21"/>
        </w:rPr>
        <w:t>费用的调整</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管理人有权根据法律法规、监管规定等，对本理财产品费用名目、收费条件、收费标准和收费方式进行调整，并按照本《产品说明书》“十一、信息披露”约定的方式通知投资者。其中，对于增加费用名目、提高收费标准等对投资者利益产生实质影响的情形，投资者如不同意调整的，可在管理人公告的补充或修改后的相关业务调整生效前赎回本理财产品，未赎回的视为同意接受前述调整且继续持有本理财产品。</w:t>
      </w:r>
    </w:p>
    <w:p>
      <w:pPr>
        <w:pStyle w:val="6"/>
        <w:spacing w:line="360" w:lineRule="auto"/>
        <w:ind w:firstLine="360"/>
        <w:jc w:val="left"/>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（二）理财产品的税费</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税费在</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资产中列支。</w:t>
      </w:r>
      <w:r>
        <w:rPr>
          <w:rFonts w:hint="eastAsia" w:cs="宋体" w:asciiTheme="minorEastAsia" w:hAnsiTheme="minorEastAsia" w:eastAsiaTheme="minorEastAsia"/>
          <w:bCs/>
          <w:iCs/>
          <w:color w:val="000000"/>
          <w:szCs w:val="21"/>
        </w:rPr>
        <w:t>除理财产品销售文件另有约定外，理财产品运作过程中涉及的各纳税主体，依照法律法规、监管规定自行履行纳税义务。</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w:t>
      </w:r>
      <w:r>
        <w:rPr>
          <w:rFonts w:hint="eastAsia" w:asciiTheme="minorEastAsia" w:hAnsiTheme="minorEastAsia" w:eastAsiaTheme="minorEastAsia"/>
          <w:color w:val="000000" w:themeColor="text1"/>
          <w:szCs w:val="21"/>
          <w14:textFill>
            <w14:solidFill>
              <w14:schemeClr w14:val="tx1"/>
            </w14:solidFill>
          </w14:textFill>
        </w:rPr>
        <w:t>除法律法规特别要求外，投资者应缴纳的税收由投资者负责，产品管理人不承担代扣代缴或纳税的义务。</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在资产管理、运作、处置过程中产生的收入，根据</w:t>
      </w:r>
      <w:r>
        <w:rPr>
          <w:rFonts w:hint="eastAsia" w:cs="宋体" w:asciiTheme="minorEastAsia" w:hAnsiTheme="minorEastAsia" w:eastAsiaTheme="minorEastAsia"/>
          <w:bCs/>
          <w:iCs/>
          <w:color w:val="000000"/>
          <w:szCs w:val="21"/>
        </w:rPr>
        <w:t>法律法规、监管规定</w:t>
      </w:r>
      <w:r>
        <w:rPr>
          <w:rFonts w:cs="宋体" w:asciiTheme="minorEastAsia" w:hAnsiTheme="minorEastAsia" w:eastAsiaTheme="minorEastAsia"/>
          <w:bCs/>
          <w:iCs/>
          <w:color w:val="000000"/>
          <w:szCs w:val="21"/>
        </w:rPr>
        <w:t>应缴纳增值税（含增值税附加税费）及/或其他税费的，即使管理人被税务机关认定为纳税义务人，该等增值税（含增值税附加税费）及/或其他税费仍属于</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税费，应在</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资产中列支、扣除并由管理人申报和缴纳，</w:t>
      </w:r>
      <w:r>
        <w:rPr>
          <w:rFonts w:hint="eastAsia" w:cs="宋体" w:asciiTheme="minorEastAsia" w:hAnsiTheme="minorEastAsia" w:eastAsiaTheme="minorEastAsia"/>
          <w:bCs/>
          <w:iCs/>
          <w:color w:val="000000"/>
          <w:szCs w:val="21"/>
        </w:rPr>
        <w:t>投资者</w:t>
      </w:r>
      <w:r>
        <w:rPr>
          <w:rFonts w:cs="宋体" w:asciiTheme="minorEastAsia" w:hAnsiTheme="minorEastAsia" w:eastAsiaTheme="minorEastAsia"/>
          <w:bCs/>
          <w:iCs/>
          <w:color w:val="000000"/>
          <w:szCs w:val="21"/>
        </w:rPr>
        <w:t>对此应予同意及充分配合。但管理人向</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收取固定管理费而产生的纳税义务履行，不适用本条。</w:t>
      </w:r>
    </w:p>
    <w:p>
      <w:pPr>
        <w:spacing w:line="360" w:lineRule="auto"/>
        <w:ind w:firstLine="420" w:firstLineChars="200"/>
        <w:rPr>
          <w:rFonts w:cs="宋体" w:asciiTheme="minorEastAsia" w:hAnsiTheme="minorEastAsia" w:eastAsiaTheme="minorEastAsia"/>
          <w:bCs/>
          <w:iCs/>
          <w:color w:val="000000"/>
          <w:szCs w:val="21"/>
        </w:rPr>
      </w:pPr>
    </w:p>
    <w:p>
      <w:pPr>
        <w:pStyle w:val="6"/>
        <w:snapToGrid w:val="0"/>
        <w:spacing w:before="240" w:beforeLines="100" w:line="360" w:lineRule="auto"/>
        <w:jc w:val="center"/>
        <w:outlineLvl w:val="1"/>
        <w:rPr>
          <w:rFonts w:asciiTheme="minorEastAsia" w:hAnsiTheme="minorEastAsia" w:eastAsiaTheme="minorEastAsia"/>
          <w:b/>
          <w:szCs w:val="21"/>
        </w:rPr>
      </w:pPr>
      <w:r>
        <w:rPr>
          <w:rFonts w:hint="eastAsia" w:asciiTheme="minorEastAsia" w:hAnsiTheme="minorEastAsia" w:eastAsiaTheme="minorEastAsia"/>
          <w:b/>
          <w:szCs w:val="21"/>
        </w:rPr>
        <w:t>十一、</w:t>
      </w:r>
      <w:r>
        <w:rPr>
          <w:rFonts w:asciiTheme="minorEastAsia" w:hAnsiTheme="minorEastAsia" w:eastAsiaTheme="minorEastAsia"/>
          <w:b/>
          <w:szCs w:val="21"/>
        </w:rPr>
        <w:t>信息披露</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（一）</w:t>
      </w:r>
      <w:r>
        <w:rPr>
          <w:rFonts w:cs="宋体" w:asciiTheme="minorEastAsia" w:hAnsiTheme="minorEastAsia" w:eastAsiaTheme="minorEastAsia"/>
          <w:b/>
          <w:bCs/>
          <w:iCs/>
          <w:color w:val="000000"/>
          <w:szCs w:val="21"/>
        </w:rPr>
        <w:t>信息披露的渠道</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1.本</w:t>
      </w:r>
      <w:r>
        <w:rPr>
          <w:rFonts w:hint="eastAsia" w:cs="宋体" w:asciiTheme="minorEastAsia" w:hAnsiTheme="minorEastAsia" w:eastAsiaTheme="minorEastAsia"/>
          <w:bCs/>
          <w:iCs/>
          <w:color w:val="000000"/>
          <w:szCs w:val="21"/>
        </w:rPr>
        <w:t>理财产品存续期限</w:t>
      </w:r>
      <w:r>
        <w:rPr>
          <w:rFonts w:cs="宋体" w:asciiTheme="minorEastAsia" w:hAnsiTheme="minorEastAsia" w:eastAsiaTheme="minorEastAsia"/>
          <w:bCs/>
          <w:iCs/>
          <w:color w:val="000000"/>
          <w:szCs w:val="21"/>
        </w:rPr>
        <w:t>内，管理人</w:t>
      </w:r>
      <w:r>
        <w:rPr>
          <w:rFonts w:hint="eastAsia" w:cs="宋体" w:asciiTheme="minorEastAsia" w:hAnsiTheme="minorEastAsia" w:eastAsiaTheme="minorEastAsia"/>
          <w:bCs/>
          <w:iCs/>
          <w:color w:val="000000"/>
          <w:szCs w:val="21"/>
        </w:rPr>
        <w:t>将以管理人</w:t>
      </w:r>
      <w:r>
        <w:rPr>
          <w:rFonts w:cs="宋体" w:asciiTheme="minorEastAsia" w:hAnsiTheme="minorEastAsia" w:eastAsiaTheme="minorEastAsia"/>
          <w:bCs/>
          <w:iCs/>
          <w:color w:val="000000"/>
          <w:szCs w:val="21"/>
        </w:rPr>
        <w:t>门户网站（www.spdb-wm.com）</w:t>
      </w:r>
      <w:r>
        <w:rPr>
          <w:rFonts w:hint="eastAsia" w:cs="宋体" w:asciiTheme="minorEastAsia" w:hAnsiTheme="minorEastAsia" w:eastAsiaTheme="minorEastAsia"/>
          <w:bCs/>
          <w:iCs/>
          <w:color w:val="000000"/>
          <w:szCs w:val="21"/>
        </w:rPr>
        <w:t>或销售机构的信息披露渠道（包括但不限于营业网点、门户网站、移动客户端或其他电子销售渠道等）</w:t>
      </w:r>
      <w:r>
        <w:rPr>
          <w:rFonts w:cs="宋体" w:asciiTheme="minorEastAsia" w:hAnsiTheme="minorEastAsia" w:eastAsiaTheme="minorEastAsia"/>
          <w:bCs/>
          <w:iCs/>
          <w:color w:val="000000"/>
          <w:szCs w:val="21"/>
        </w:rPr>
        <w:t>作为本</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的信息披露</w:t>
      </w:r>
      <w:r>
        <w:rPr>
          <w:rFonts w:hint="eastAsia" w:cs="宋体" w:asciiTheme="minorEastAsia" w:hAnsiTheme="minorEastAsia" w:eastAsiaTheme="minorEastAsia"/>
          <w:bCs/>
          <w:iCs/>
          <w:color w:val="000000"/>
          <w:szCs w:val="21"/>
        </w:rPr>
        <w:t>渠道</w:t>
      </w:r>
      <w:r>
        <w:rPr>
          <w:rFonts w:cs="宋体" w:asciiTheme="minorEastAsia" w:hAnsiTheme="minorEastAsia" w:eastAsiaTheme="minorEastAsia"/>
          <w:bCs/>
          <w:iCs/>
          <w:color w:val="000000"/>
          <w:szCs w:val="21"/>
        </w:rPr>
        <w:t>。</w:t>
      </w:r>
      <w:r>
        <w:rPr>
          <w:rFonts w:hint="eastAsia" w:cs="宋体" w:asciiTheme="minorEastAsia" w:hAnsiTheme="minorEastAsia" w:eastAsiaTheme="minorEastAsia"/>
          <w:bCs/>
          <w:iCs/>
          <w:color w:val="000000"/>
          <w:szCs w:val="21"/>
        </w:rPr>
        <w:t>本理财产品认购期和存续期限内，产品管理人将通过管理人或销售机构的信息披露渠道开展理财产品的信息披露工作。</w:t>
      </w:r>
    </w:p>
    <w:p>
      <w:pPr>
        <w:spacing w:line="360" w:lineRule="auto"/>
        <w:ind w:firstLine="421"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
          <w:bCs/>
          <w:iCs/>
          <w:color w:val="000000"/>
          <w:szCs w:val="21"/>
        </w:rPr>
        <w:t>2.</w:t>
      </w:r>
      <w:r>
        <w:rPr>
          <w:rFonts w:hint="eastAsia" w:cs="宋体" w:asciiTheme="minorEastAsia" w:hAnsiTheme="minorEastAsia" w:eastAsiaTheme="minorEastAsia"/>
          <w:b/>
          <w:bCs/>
          <w:iCs/>
          <w:color w:val="000000"/>
          <w:szCs w:val="21"/>
        </w:rPr>
        <w:t>★产品管理人通过管理人或销售机构的信息披露渠道发布理财产品有关信息，自披露之日即视为已适当履行其信息披露义务。如产品管理人认为需要直接联系投资者的，将依据投资者预留在销售机构的有效联系方式进行通知。因投资者原因而导致该等通知失败的，产品管理人不承担相应责任。</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3.投资者应定期通过</w:t>
      </w:r>
      <w:r>
        <w:rPr>
          <w:rFonts w:hint="eastAsia" w:cs="宋体" w:asciiTheme="minorEastAsia" w:hAnsiTheme="minorEastAsia" w:eastAsiaTheme="minorEastAsia"/>
          <w:bCs/>
          <w:iCs/>
          <w:color w:val="000000"/>
          <w:szCs w:val="21"/>
        </w:rPr>
        <w:t>约定的信息披露</w:t>
      </w:r>
      <w:r>
        <w:rPr>
          <w:rFonts w:cs="宋体" w:asciiTheme="minorEastAsia" w:hAnsiTheme="minorEastAsia" w:eastAsiaTheme="minorEastAsia"/>
          <w:bCs/>
          <w:iCs/>
          <w:color w:val="000000"/>
          <w:szCs w:val="21"/>
        </w:rPr>
        <w:t>渠道获知有关本</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相关信息</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以上相关信息自披露之日即视为已送达投资者</w:t>
      </w:r>
      <w:r>
        <w:rPr>
          <w:rFonts w:hint="eastAsia" w:cs="宋体" w:asciiTheme="minorEastAsia" w:hAnsiTheme="minorEastAsia" w:eastAsiaTheme="minorEastAsia"/>
          <w:bCs/>
          <w:iCs/>
          <w:color w:val="000000"/>
          <w:szCs w:val="21"/>
        </w:rPr>
        <w:t>。投资者承诺将及时接收、浏览和阅读该等信息，如投资者对本产品的运作情况有任何疑问，可向产品管理人或销售机构进行咨询。</w:t>
      </w:r>
    </w:p>
    <w:p>
      <w:pPr>
        <w:spacing w:line="360" w:lineRule="auto"/>
        <w:ind w:firstLine="420"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Cs/>
          <w:iCs/>
          <w:color w:val="000000"/>
          <w:szCs w:val="21"/>
        </w:rPr>
        <w:t>4.</w:t>
      </w:r>
      <w:r>
        <w:rPr>
          <w:rFonts w:hint="eastAsia" w:cs="宋体" w:asciiTheme="minorEastAsia" w:hAnsiTheme="minorEastAsia" w:eastAsiaTheme="minorEastAsia"/>
          <w:b/>
          <w:bCs/>
          <w:iCs/>
          <w:color w:val="000000"/>
          <w:szCs w:val="21"/>
        </w:rPr>
        <w:t>如投资者未及时查询，或由于通讯故障、系统故障以及其他不可抗力等因素的影响使得投资者无法及时了解产品信息，由此产生的责任和风险由投资者自行承担；投资者预留在销售机构的有效联系方式变更的，应及时通知销售机构。如投资者未及时告知销售机构联系方式变更，或因其他原因导致产品管理人或销售机构在需要联系投资者时无法及时取得联系，可能会由此影响投资者的投资决策，由此产生的责任和风险由投资者自行承担。</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.本产品存续期内，投资者可通过销售机构查询理财产品账单信息，具体查询方式及账单内容以销售机构规则为准。</w:t>
      </w:r>
    </w:p>
    <w:p>
      <w:pPr>
        <w:spacing w:line="360" w:lineRule="auto"/>
        <w:ind w:firstLine="400" w:firstLineChars="200"/>
        <w:rPr>
          <w:rFonts w:cs="宋体" w:asciiTheme="minorEastAsia" w:hAnsiTheme="minorEastAsia" w:eastAsiaTheme="minorEastAsia"/>
          <w:bCs/>
          <w:iCs/>
          <w:color w:val="000000"/>
          <w:szCs w:val="21"/>
        </w:rPr>
      </w:pPr>
      <w:r>
        <w:rPr>
          <w:rFonts w:cs="微软雅黑" w:asciiTheme="minorEastAsia" w:hAnsiTheme="minorEastAsia" w:eastAsiaTheme="minorEastAsia"/>
          <w:spacing w:val="-5"/>
          <w:szCs w:val="21"/>
        </w:rPr>
        <w:t>6</w:t>
      </w:r>
      <w:r>
        <w:rPr>
          <w:rFonts w:cs="宋体" w:asciiTheme="minorEastAsia" w:hAnsiTheme="minorEastAsia" w:eastAsiaTheme="minorEastAsia"/>
          <w:bCs/>
          <w:iCs/>
          <w:color w:val="000000"/>
          <w:szCs w:val="21"/>
        </w:rPr>
        <w:t>.</w:t>
      </w:r>
      <w:r>
        <w:rPr>
          <w:rFonts w:hint="eastAsia" w:cs="宋体" w:asciiTheme="minorEastAsia" w:hAnsiTheme="minorEastAsia" w:eastAsiaTheme="minorEastAsia"/>
          <w:bCs/>
          <w:iCs/>
          <w:color w:val="000000"/>
          <w:szCs w:val="21"/>
        </w:rPr>
        <w:t>在保障投资者知情权的前提下，</w:t>
      </w:r>
      <w:r>
        <w:rPr>
          <w:rFonts w:cs="宋体" w:asciiTheme="minorEastAsia" w:hAnsiTheme="minorEastAsia" w:eastAsiaTheme="minorEastAsia"/>
          <w:bCs/>
          <w:iCs/>
          <w:color w:val="000000"/>
          <w:szCs w:val="21"/>
        </w:rPr>
        <w:t>产品</w:t>
      </w:r>
      <w:r>
        <w:rPr>
          <w:rFonts w:hint="eastAsia" w:cs="宋体" w:asciiTheme="minorEastAsia" w:hAnsiTheme="minorEastAsia" w:eastAsiaTheme="minorEastAsia"/>
          <w:bCs/>
          <w:iCs/>
          <w:color w:val="000000"/>
          <w:szCs w:val="21"/>
        </w:rPr>
        <w:t>管理人保留变更信息披露渠道的权利。</w:t>
      </w:r>
    </w:p>
    <w:p>
      <w:pPr>
        <w:spacing w:line="360" w:lineRule="auto"/>
        <w:ind w:firstLine="421" w:firstLineChars="200"/>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（二）</w:t>
      </w:r>
      <w:r>
        <w:rPr>
          <w:rFonts w:cs="宋体" w:asciiTheme="minorEastAsia" w:hAnsiTheme="minorEastAsia" w:eastAsiaTheme="minorEastAsia"/>
          <w:b/>
          <w:bCs/>
          <w:iCs/>
          <w:color w:val="000000"/>
          <w:szCs w:val="21"/>
        </w:rPr>
        <w:t>信息披露的内容和时间</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1.理财产品发行公告</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管理人将在理财产品成立之后5个工作日内披露发行公告。若</w:t>
      </w:r>
      <w:r>
        <w:rPr>
          <w:rFonts w:hint="eastAsia" w:cs="宋体" w:asciiTheme="minorEastAsia" w:hAnsiTheme="minorEastAsia" w:eastAsiaTheme="minorEastAsia"/>
          <w:bCs/>
          <w:iCs/>
          <w:color w:val="000000"/>
          <w:szCs w:val="21"/>
        </w:rPr>
        <w:t>发生认购期</w:t>
      </w:r>
      <w:r>
        <w:rPr>
          <w:rFonts w:cs="宋体" w:asciiTheme="minorEastAsia" w:hAnsiTheme="minorEastAsia" w:eastAsiaTheme="minorEastAsia"/>
          <w:bCs/>
          <w:iCs/>
          <w:color w:val="000000"/>
          <w:szCs w:val="21"/>
        </w:rPr>
        <w:t>新出台的</w:t>
      </w:r>
      <w:r>
        <w:rPr>
          <w:rFonts w:hint="eastAsia" w:cs="宋体" w:asciiTheme="minorEastAsia" w:hAnsiTheme="minorEastAsia" w:eastAsiaTheme="minorEastAsia"/>
          <w:bCs/>
          <w:iCs/>
          <w:color w:val="000000"/>
          <w:szCs w:val="21"/>
        </w:rPr>
        <w:t>法律法规、监管规定</w:t>
      </w:r>
      <w:r>
        <w:rPr>
          <w:rFonts w:cs="宋体" w:asciiTheme="minorEastAsia" w:hAnsiTheme="minorEastAsia" w:eastAsiaTheme="minorEastAsia"/>
          <w:bCs/>
          <w:iCs/>
          <w:color w:val="000000"/>
          <w:szCs w:val="21"/>
        </w:rPr>
        <w:t>导致本理财产品不</w:t>
      </w:r>
      <w:r>
        <w:rPr>
          <w:rFonts w:hint="eastAsia" w:cs="宋体" w:asciiTheme="minorEastAsia" w:hAnsiTheme="minorEastAsia" w:eastAsiaTheme="minorEastAsia"/>
          <w:bCs/>
          <w:iCs/>
          <w:color w:val="000000"/>
          <w:szCs w:val="21"/>
        </w:rPr>
        <w:t>成立</w:t>
      </w:r>
      <w:r>
        <w:rPr>
          <w:rFonts w:cs="宋体" w:asciiTheme="minorEastAsia" w:hAnsiTheme="minorEastAsia" w:eastAsiaTheme="minorEastAsia"/>
          <w:bCs/>
          <w:iCs/>
          <w:color w:val="000000"/>
          <w:szCs w:val="21"/>
        </w:rPr>
        <w:t>，或</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认购总金额未达到</w:t>
      </w:r>
      <w:r>
        <w:rPr>
          <w:rFonts w:hint="eastAsia" w:cs="宋体" w:asciiTheme="minorEastAsia" w:hAnsiTheme="minorEastAsia" w:eastAsiaTheme="minorEastAsia"/>
          <w:bCs/>
          <w:iCs/>
          <w:color w:val="000000"/>
          <w:szCs w:val="21"/>
        </w:rPr>
        <w:t>产品</w:t>
      </w:r>
      <w:r>
        <w:rPr>
          <w:rFonts w:cs="宋体" w:asciiTheme="minorEastAsia" w:hAnsiTheme="minorEastAsia" w:eastAsiaTheme="minorEastAsia"/>
          <w:bCs/>
          <w:iCs/>
          <w:color w:val="000000"/>
          <w:szCs w:val="21"/>
        </w:rPr>
        <w:t>规模下限，或出现其他</w:t>
      </w:r>
      <w:r>
        <w:rPr>
          <w:rFonts w:hint="eastAsia" w:cs="宋体" w:asciiTheme="minorEastAsia" w:hAnsiTheme="minorEastAsia" w:eastAsiaTheme="minorEastAsia"/>
          <w:bCs/>
          <w:iCs/>
          <w:color w:val="000000"/>
          <w:szCs w:val="21"/>
        </w:rPr>
        <w:t>经</w:t>
      </w:r>
      <w:r>
        <w:rPr>
          <w:rFonts w:cs="宋体" w:asciiTheme="minorEastAsia" w:hAnsiTheme="minorEastAsia" w:eastAsiaTheme="minorEastAsia"/>
          <w:bCs/>
          <w:iCs/>
          <w:color w:val="000000"/>
          <w:szCs w:val="21"/>
        </w:rPr>
        <w:t>产品管理人合理判断认为影响本</w:t>
      </w:r>
      <w:r>
        <w:rPr>
          <w:rFonts w:hint="eastAsia" w:cs="宋体" w:asciiTheme="minorEastAsia" w:hAnsiTheme="minorEastAsia" w:eastAsiaTheme="minorEastAsia"/>
          <w:bCs/>
          <w:iCs/>
          <w:color w:val="000000"/>
          <w:szCs w:val="21"/>
        </w:rPr>
        <w:t>理财产品成立或</w:t>
      </w:r>
      <w:r>
        <w:rPr>
          <w:rFonts w:cs="宋体" w:asciiTheme="minorEastAsia" w:hAnsiTheme="minorEastAsia" w:eastAsiaTheme="minorEastAsia"/>
          <w:bCs/>
          <w:iCs/>
          <w:color w:val="000000"/>
          <w:szCs w:val="21"/>
        </w:rPr>
        <w:t>正常运作的情况，</w:t>
      </w:r>
      <w:r>
        <w:rPr>
          <w:rFonts w:hint="eastAsia" w:cs="宋体" w:asciiTheme="minorEastAsia" w:hAnsiTheme="minorEastAsia" w:eastAsiaTheme="minorEastAsia"/>
          <w:bCs/>
          <w:iCs/>
          <w:color w:val="000000"/>
          <w:szCs w:val="21"/>
        </w:rPr>
        <w:t>产品</w:t>
      </w:r>
      <w:r>
        <w:rPr>
          <w:rFonts w:cs="宋体" w:asciiTheme="minorEastAsia" w:hAnsiTheme="minorEastAsia" w:eastAsiaTheme="minorEastAsia"/>
          <w:bCs/>
          <w:iCs/>
          <w:color w:val="000000"/>
          <w:szCs w:val="21"/>
        </w:rPr>
        <w:t>管理人有权宣布本理财产品不能成立</w:t>
      </w:r>
      <w:r>
        <w:rPr>
          <w:rFonts w:hint="eastAsia" w:cs="宋体" w:asciiTheme="minorEastAsia" w:hAnsiTheme="minorEastAsia" w:eastAsiaTheme="minorEastAsia"/>
          <w:bCs/>
          <w:iCs/>
          <w:color w:val="000000"/>
          <w:szCs w:val="21"/>
        </w:rPr>
        <w:t>并及时向投资者披露</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2.理财产品定期报告</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产品管理人</w:t>
      </w:r>
      <w:r>
        <w:rPr>
          <w:rFonts w:cs="宋体" w:asciiTheme="minorEastAsia" w:hAnsiTheme="minorEastAsia" w:eastAsiaTheme="minorEastAsia"/>
          <w:bCs/>
          <w:iCs/>
          <w:color w:val="000000"/>
          <w:szCs w:val="21"/>
        </w:rPr>
        <w:t>将在每个季度结束之日起15个工作日内、每个上半年结束之日起60个工作日内、每个年度结束之日起90个工作日内，向投资者披露季度、半年和年度报告等定期报告</w:t>
      </w:r>
      <w:r>
        <w:rPr>
          <w:rFonts w:hint="eastAsia" w:cs="宋体" w:asciiTheme="minorEastAsia" w:hAnsiTheme="minorEastAsia" w:eastAsiaTheme="minorEastAsia"/>
          <w:bCs/>
          <w:iCs/>
          <w:color w:val="000000"/>
          <w:szCs w:val="21"/>
        </w:rPr>
        <w:t>；</w:t>
      </w:r>
      <w:r>
        <w:rPr>
          <w:rFonts w:cs="宋体" w:asciiTheme="minorEastAsia" w:hAnsiTheme="minorEastAsia" w:eastAsiaTheme="minorEastAsia"/>
          <w:bCs/>
          <w:iCs/>
          <w:color w:val="000000"/>
          <w:szCs w:val="21"/>
        </w:rPr>
        <w:t>理财产品成立不足90个工作日或者剩余</w:t>
      </w:r>
      <w:r>
        <w:rPr>
          <w:rFonts w:hint="eastAsia" w:cs="宋体" w:asciiTheme="minorEastAsia" w:hAnsiTheme="minorEastAsia" w:eastAsiaTheme="minorEastAsia"/>
          <w:bCs/>
          <w:iCs/>
          <w:color w:val="000000"/>
          <w:szCs w:val="21"/>
        </w:rPr>
        <w:t>存续期限</w:t>
      </w:r>
      <w:r>
        <w:rPr>
          <w:rFonts w:cs="宋体" w:asciiTheme="minorEastAsia" w:hAnsiTheme="minorEastAsia" w:eastAsiaTheme="minorEastAsia"/>
          <w:bCs/>
          <w:iCs/>
          <w:color w:val="000000"/>
          <w:szCs w:val="21"/>
        </w:rPr>
        <w:t>不超过90个工作日的，管理人可以不编制理财产品当期的季度、半年和年度报告。</w:t>
      </w:r>
    </w:p>
    <w:p>
      <w:pPr>
        <w:spacing w:line="360" w:lineRule="auto"/>
        <w:ind w:firstLine="420" w:firstLineChars="200"/>
        <w:rPr>
          <w:rFonts w:cs="宋体" w:asciiTheme="minorEastAsia" w:hAnsiTheme="minorEastAsia" w:eastAsiaTheme="minorEastAsia"/>
          <w:bCs/>
          <w:iCs/>
          <w:szCs w:val="21"/>
        </w:rPr>
      </w:pPr>
      <w:r>
        <w:rPr>
          <w:rFonts w:hint="eastAsia" w:cs="宋体" w:asciiTheme="minorEastAsia" w:hAnsiTheme="minorEastAsia" w:eastAsiaTheme="minorEastAsia"/>
          <w:bCs/>
          <w:iCs/>
          <w:szCs w:val="21"/>
        </w:rPr>
        <w:t>在半年和年度报告中，将披露本产品前10名投资者的类别、持有份额及占总份额的比例等信息。产品存续期间，如出现单一投资者持有产品份额达到或者超过该产品总份额20%的情形，为保障其他投资者的权益，管理人将在定期报告中披露该投资者的类别、持有份额及占比、持有份额变化情况及产品风险等信息，</w:t>
      </w:r>
      <w:r>
        <w:rPr>
          <w:rFonts w:hint="eastAsia" w:asciiTheme="minorEastAsia" w:hAnsiTheme="minorEastAsia" w:eastAsiaTheme="minorEastAsia"/>
          <w:spacing w:val="-3"/>
          <w:szCs w:val="21"/>
        </w:rPr>
        <w:t>国务院银行业监督管理机构</w:t>
      </w:r>
      <w:r>
        <w:rPr>
          <w:rFonts w:hint="eastAsia" w:cs="宋体" w:asciiTheme="minorEastAsia" w:hAnsiTheme="minorEastAsia" w:eastAsiaTheme="minorEastAsia"/>
          <w:bCs/>
          <w:iCs/>
          <w:szCs w:val="21"/>
        </w:rPr>
        <w:t>认定的特殊情形除外。管理人将在理财产品季度、半年和年度报告中披露理财产品组合资产情况及其流动性风险分析等。</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3.理财产品临时</w:t>
      </w:r>
      <w:r>
        <w:rPr>
          <w:rFonts w:hint="eastAsia" w:cs="宋体" w:asciiTheme="minorEastAsia" w:hAnsiTheme="minorEastAsia" w:eastAsiaTheme="minorEastAsia"/>
          <w:bCs/>
          <w:iCs/>
          <w:color w:val="000000"/>
          <w:szCs w:val="21"/>
        </w:rPr>
        <w:t>性信息披露</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（1）发生理财产品管理人、托管人变更的情形的，管理人将提前1</w:t>
      </w:r>
      <w:r>
        <w:rPr>
          <w:rFonts w:cs="宋体" w:asciiTheme="minorEastAsia" w:hAnsiTheme="minorEastAsia" w:eastAsiaTheme="minorEastAsia"/>
          <w:bCs/>
          <w:iCs/>
          <w:color w:val="000000"/>
          <w:szCs w:val="21"/>
        </w:rPr>
        <w:t>0</w:t>
      </w:r>
      <w:r>
        <w:rPr>
          <w:rFonts w:hint="eastAsia" w:cs="宋体" w:asciiTheme="minorEastAsia" w:hAnsiTheme="minorEastAsia" w:eastAsiaTheme="minorEastAsia"/>
          <w:bCs/>
          <w:iCs/>
          <w:color w:val="000000"/>
          <w:szCs w:val="21"/>
        </w:rPr>
        <w:t>个工作日发布临时公告，告知投资者。</w:t>
      </w:r>
    </w:p>
    <w:p>
      <w:pPr>
        <w:spacing w:line="360" w:lineRule="auto"/>
        <w:ind w:firstLine="420" w:firstLineChars="200"/>
        <w:rPr>
          <w:rFonts w:asciiTheme="minorEastAsia" w:hAnsiTheme="minorEastAsia" w:eastAsiaTheme="minorEastAsia"/>
          <w:color w:val="000000"/>
        </w:rPr>
      </w:pPr>
      <w:r>
        <w:rPr>
          <w:rFonts w:hint="eastAsia" w:cs="宋体" w:asciiTheme="minorEastAsia" w:hAnsiTheme="minorEastAsia" w:eastAsiaTheme="minorEastAsia"/>
          <w:bCs/>
          <w:iCs/>
          <w:color w:val="000000"/>
          <w:szCs w:val="21"/>
        </w:rPr>
        <w:t>（2）在本理财产品存续期间，产品管理人对投资范围、投资资产种类或投资比例、估值方法、增加费用名目、提高收费标准等</w:t>
      </w:r>
      <w:r>
        <w:rPr>
          <w:rFonts w:cs="宋体" w:asciiTheme="minorEastAsia" w:hAnsiTheme="minorEastAsia" w:eastAsiaTheme="minorEastAsia"/>
          <w:bCs/>
          <w:iCs/>
          <w:color w:val="000000"/>
          <w:szCs w:val="21"/>
        </w:rPr>
        <w:t>可能对</w:t>
      </w:r>
      <w:r>
        <w:rPr>
          <w:rFonts w:hint="eastAsia" w:cs="宋体" w:asciiTheme="minorEastAsia" w:hAnsiTheme="minorEastAsia" w:eastAsiaTheme="minorEastAsia"/>
          <w:bCs/>
          <w:iCs/>
          <w:color w:val="000000"/>
          <w:szCs w:val="21"/>
        </w:rPr>
        <w:t>投资者</w:t>
      </w:r>
      <w:r>
        <w:rPr>
          <w:rFonts w:cs="宋体" w:asciiTheme="minorEastAsia" w:hAnsiTheme="minorEastAsia" w:eastAsiaTheme="minorEastAsia"/>
          <w:bCs/>
          <w:iCs/>
          <w:color w:val="000000"/>
          <w:szCs w:val="21"/>
        </w:rPr>
        <w:t>权益产生</w:t>
      </w:r>
      <w:r>
        <w:rPr>
          <w:rFonts w:hint="eastAsia" w:cs="宋体" w:asciiTheme="minorEastAsia" w:hAnsiTheme="minorEastAsia" w:eastAsiaTheme="minorEastAsia"/>
          <w:bCs/>
          <w:iCs/>
          <w:color w:val="000000"/>
          <w:szCs w:val="21"/>
        </w:rPr>
        <w:t>实质性不利</w:t>
      </w:r>
      <w:r>
        <w:rPr>
          <w:rFonts w:cs="宋体" w:asciiTheme="minorEastAsia" w:hAnsiTheme="minorEastAsia" w:eastAsiaTheme="minorEastAsia"/>
          <w:bCs/>
          <w:iCs/>
          <w:color w:val="000000"/>
          <w:szCs w:val="21"/>
        </w:rPr>
        <w:t>影响</w:t>
      </w:r>
      <w:r>
        <w:rPr>
          <w:rFonts w:hint="eastAsia" w:cs="宋体" w:asciiTheme="minorEastAsia" w:hAnsiTheme="minorEastAsia" w:eastAsiaTheme="minorEastAsia"/>
          <w:bCs/>
          <w:iCs/>
          <w:color w:val="000000"/>
          <w:szCs w:val="21"/>
        </w:rPr>
        <w:t>或涉及当事人权利义务的重大变更的条款进行调整的（因法律法规、监管规定发生变化导致的除外），产品管理人将至少提前</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个工作日发布临时公告，调整后的要素以产品管理人发布的临时公告为准</w:t>
      </w:r>
      <w:r>
        <w:rPr>
          <w:rFonts w:hint="eastAsia" w:cs="宋体" w:asciiTheme="minorEastAsia" w:hAnsiTheme="minorEastAsia" w:eastAsiaTheme="minorEastAsia"/>
          <w:b/>
          <w:bCs/>
          <w:iCs/>
          <w:color w:val="000000"/>
          <w:szCs w:val="21"/>
        </w:rPr>
        <w:t>。投资者不接受变更的，有权按照届时公告约定选择退出；如投资者未赎回的，则视同其认可产品管理人所变更的事项且继续持有本理财产品。</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（3）如管理人根据本理财产品募集情况决定延长或提前终止认购期的，将在原约定的认购期内进行信息披露。</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4）如管理人决定运用收取短期赎回费（如有）、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4.理财产品重大事项公告</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理财产品存续期限内，如发生可能对投资者或者理财产品收益产生重大影响的事件，管理人将在发生重大事项后的</w:t>
      </w:r>
      <w:r>
        <w:rPr>
          <w:rFonts w:cs="宋体" w:asciiTheme="minorEastAsia" w:hAnsiTheme="minorEastAsia" w:eastAsiaTheme="minorEastAsia"/>
          <w:bCs/>
          <w:iCs/>
          <w:color w:val="000000"/>
          <w:szCs w:val="21"/>
        </w:rPr>
        <w:t>2个工作日内向投资者披露相关信息。</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本产品拟投资于主体信用评级低于AA+的商业银行的银行存款与同业存单的，在履行必要程序后，将作为重大事项向投资者进行披露。</w:t>
      </w:r>
    </w:p>
    <w:p>
      <w:pPr>
        <w:spacing w:line="360" w:lineRule="auto"/>
        <w:ind w:firstLine="420" w:firstLineChars="20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5.理财产品</w:t>
      </w:r>
      <w:r>
        <w:rPr>
          <w:rFonts w:hint="eastAsia" w:cs="宋体" w:asciiTheme="minorEastAsia" w:hAnsiTheme="minorEastAsia" w:eastAsiaTheme="minorEastAsia"/>
          <w:bCs/>
          <w:iCs/>
          <w:color w:val="000000"/>
          <w:szCs w:val="21"/>
        </w:rPr>
        <w:t>到期</w:t>
      </w:r>
      <w:r>
        <w:rPr>
          <w:rFonts w:cs="宋体" w:asciiTheme="minorEastAsia" w:hAnsiTheme="minorEastAsia" w:eastAsiaTheme="minorEastAsia"/>
          <w:bCs/>
          <w:iCs/>
          <w:color w:val="000000"/>
          <w:szCs w:val="21"/>
        </w:rPr>
        <w:t>公告</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如果产品管理人提前终止本理财产品，产品管理人将至少提前</w:t>
      </w: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个工作日进行公告。本理财产品终止后</w:t>
      </w:r>
      <w:r>
        <w:rPr>
          <w:rFonts w:cs="宋体" w:asciiTheme="minorEastAsia" w:hAnsiTheme="minorEastAsia" w:eastAsiaTheme="minorEastAsia"/>
          <w:bCs/>
          <w:iCs/>
          <w:color w:val="000000"/>
          <w:szCs w:val="21"/>
        </w:rPr>
        <w:t>5</w:t>
      </w:r>
      <w:r>
        <w:rPr>
          <w:rFonts w:hint="eastAsia" w:cs="宋体" w:asciiTheme="minorEastAsia" w:hAnsiTheme="minorEastAsia" w:eastAsiaTheme="minorEastAsia"/>
          <w:bCs/>
          <w:iCs/>
          <w:color w:val="000000"/>
          <w:szCs w:val="21"/>
        </w:rPr>
        <w:t>个工作日内，产品</w:t>
      </w:r>
      <w:r>
        <w:rPr>
          <w:rFonts w:cs="宋体" w:asciiTheme="minorEastAsia" w:hAnsiTheme="minorEastAsia" w:eastAsiaTheme="minorEastAsia"/>
          <w:bCs/>
          <w:iCs/>
          <w:color w:val="000000"/>
          <w:szCs w:val="21"/>
        </w:rPr>
        <w:t>管理人</w:t>
      </w:r>
      <w:r>
        <w:rPr>
          <w:rFonts w:hint="eastAsia" w:cs="宋体" w:asciiTheme="minorEastAsia" w:hAnsiTheme="minorEastAsia" w:eastAsiaTheme="minorEastAsia"/>
          <w:bCs/>
          <w:iCs/>
          <w:color w:val="000000"/>
          <w:szCs w:val="21"/>
        </w:rPr>
        <w:t>将</w:t>
      </w:r>
      <w:r>
        <w:rPr>
          <w:rFonts w:cs="宋体" w:asciiTheme="minorEastAsia" w:hAnsiTheme="minorEastAsia" w:eastAsiaTheme="minorEastAsia"/>
          <w:bCs/>
          <w:iCs/>
          <w:color w:val="000000"/>
          <w:szCs w:val="21"/>
        </w:rPr>
        <w:t>披露</w:t>
      </w:r>
      <w:r>
        <w:rPr>
          <w:rFonts w:hint="eastAsia" w:cs="宋体" w:asciiTheme="minorEastAsia" w:hAnsiTheme="minorEastAsia" w:eastAsiaTheme="minorEastAsia"/>
          <w:bCs/>
          <w:iCs/>
          <w:color w:val="000000"/>
          <w:szCs w:val="21"/>
        </w:rPr>
        <w:t>产品到期公告</w:t>
      </w:r>
      <w:r>
        <w:rPr>
          <w:rFonts w:cs="宋体" w:asciiTheme="minorEastAsia" w:hAnsiTheme="minorEastAsia" w:eastAsiaTheme="minorEastAsia"/>
          <w:bCs/>
          <w:iCs/>
          <w:color w:val="000000"/>
          <w:szCs w:val="21"/>
        </w:rPr>
        <w:t>。</w:t>
      </w:r>
    </w:p>
    <w:p>
      <w:pPr>
        <w:spacing w:line="360" w:lineRule="auto"/>
        <w:ind w:firstLine="420" w:firstLineChars="200"/>
        <w:rPr>
          <w:rFonts w:cs="宋体" w:asciiTheme="minorEastAsia" w:hAnsiTheme="minorEastAsia" w:eastAsiaTheme="minorEastAsia"/>
          <w:b/>
          <w:bCs/>
          <w:iCs/>
          <w:color w:val="000000"/>
          <w:szCs w:val="21"/>
        </w:rPr>
      </w:pPr>
      <w:r>
        <w:rPr>
          <w:rFonts w:cs="宋体" w:asciiTheme="minorEastAsia" w:hAnsiTheme="minorEastAsia" w:eastAsiaTheme="minorEastAsia"/>
          <w:bCs/>
          <w:iCs/>
          <w:color w:val="000000"/>
          <w:szCs w:val="21"/>
        </w:rPr>
        <w:t>6.在本</w:t>
      </w:r>
      <w:r>
        <w:rPr>
          <w:rFonts w:hint="eastAsia" w:cs="宋体" w:asciiTheme="minorEastAsia" w:hAnsiTheme="minorEastAsia" w:eastAsiaTheme="minorEastAsia"/>
          <w:bCs/>
          <w:iCs/>
          <w:color w:val="000000"/>
          <w:szCs w:val="21"/>
        </w:rPr>
        <w:t>产品存续期限</w:t>
      </w:r>
      <w:r>
        <w:rPr>
          <w:rFonts w:cs="宋体" w:asciiTheme="minorEastAsia" w:hAnsiTheme="minorEastAsia" w:eastAsiaTheme="minorEastAsia"/>
          <w:bCs/>
          <w:iCs/>
          <w:color w:val="000000"/>
          <w:szCs w:val="21"/>
        </w:rPr>
        <w:t>内，如出于维持本</w:t>
      </w:r>
      <w:r>
        <w:rPr>
          <w:rFonts w:hint="eastAsia" w:cs="宋体" w:asciiTheme="minorEastAsia" w:hAnsiTheme="minorEastAsia" w:eastAsiaTheme="minorEastAsia"/>
          <w:bCs/>
          <w:iCs/>
          <w:color w:val="000000"/>
          <w:szCs w:val="21"/>
        </w:rPr>
        <w:t>产品</w:t>
      </w:r>
      <w:r>
        <w:rPr>
          <w:rFonts w:cs="宋体" w:asciiTheme="minorEastAsia" w:hAnsiTheme="minorEastAsia" w:eastAsiaTheme="minorEastAsia"/>
          <w:bCs/>
          <w:iCs/>
          <w:color w:val="000000"/>
          <w:szCs w:val="21"/>
        </w:rPr>
        <w:t>正常运营的需要且在不损害投资者利益的前提下，或因</w:t>
      </w:r>
      <w:r>
        <w:rPr>
          <w:rFonts w:hint="eastAsia" w:cs="宋体" w:asciiTheme="minorEastAsia" w:hAnsiTheme="minorEastAsia" w:eastAsiaTheme="minorEastAsia"/>
          <w:bCs/>
          <w:iCs/>
          <w:color w:val="000000"/>
          <w:szCs w:val="21"/>
        </w:rPr>
        <w:t>法律法规、监管规定</w:t>
      </w:r>
      <w:r>
        <w:rPr>
          <w:rFonts w:cs="宋体" w:asciiTheme="minorEastAsia" w:hAnsiTheme="minorEastAsia" w:eastAsiaTheme="minorEastAsia"/>
          <w:bCs/>
          <w:iCs/>
          <w:color w:val="000000"/>
          <w:szCs w:val="21"/>
        </w:rPr>
        <w:t>发生变化，</w:t>
      </w:r>
      <w:r>
        <w:rPr>
          <w:rFonts w:hint="eastAsia" w:cs="宋体" w:asciiTheme="minorEastAsia" w:hAnsiTheme="minorEastAsia" w:eastAsiaTheme="minorEastAsia"/>
          <w:bCs/>
          <w:iCs/>
          <w:color w:val="000000"/>
          <w:szCs w:val="21"/>
        </w:rPr>
        <w:t>管理人有权单方对本理财产品合同进行修订。管理人决定对理财产品合同进行修订的，</w:t>
      </w:r>
      <w:r>
        <w:rPr>
          <w:rFonts w:cs="宋体" w:asciiTheme="minorEastAsia" w:hAnsiTheme="minorEastAsia" w:eastAsiaTheme="minorEastAsia"/>
          <w:bCs/>
          <w:iCs/>
          <w:color w:val="000000"/>
          <w:szCs w:val="21"/>
        </w:rPr>
        <w:t>将提前通过本</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的信息披露</w:t>
      </w:r>
      <w:r>
        <w:rPr>
          <w:rFonts w:hint="eastAsia" w:cs="宋体" w:asciiTheme="minorEastAsia" w:hAnsiTheme="minorEastAsia" w:eastAsiaTheme="minorEastAsia"/>
          <w:bCs/>
          <w:iCs/>
          <w:color w:val="000000"/>
          <w:szCs w:val="21"/>
        </w:rPr>
        <w:t>渠道</w:t>
      </w:r>
      <w:r>
        <w:rPr>
          <w:rFonts w:cs="宋体" w:asciiTheme="minorEastAsia" w:hAnsiTheme="minorEastAsia" w:eastAsiaTheme="minorEastAsia"/>
          <w:bCs/>
          <w:iCs/>
          <w:color w:val="000000"/>
          <w:szCs w:val="21"/>
        </w:rPr>
        <w:t>发布相关信息公告通知投资者。</w:t>
      </w:r>
      <w:r>
        <w:rPr>
          <w:rFonts w:hint="eastAsia" w:cs="宋体" w:asciiTheme="minorEastAsia" w:hAnsiTheme="minorEastAsia" w:eastAsiaTheme="minorEastAsia"/>
          <w:b/>
          <w:bCs/>
          <w:iCs/>
          <w:color w:val="000000"/>
          <w:szCs w:val="21"/>
        </w:rPr>
        <w:t>投资者知悉并同意，</w:t>
      </w:r>
      <w:r>
        <w:rPr>
          <w:rFonts w:cs="宋体" w:asciiTheme="minorEastAsia" w:hAnsiTheme="minorEastAsia" w:eastAsiaTheme="minorEastAsia"/>
          <w:b/>
          <w:bCs/>
          <w:iCs/>
          <w:color w:val="000000"/>
          <w:szCs w:val="21"/>
        </w:rPr>
        <w:t>修订后的</w:t>
      </w:r>
      <w:r>
        <w:rPr>
          <w:rFonts w:hint="eastAsia" w:cs="宋体" w:asciiTheme="minorEastAsia" w:hAnsiTheme="minorEastAsia" w:eastAsiaTheme="minorEastAsia"/>
          <w:b/>
          <w:bCs/>
          <w:iCs/>
          <w:color w:val="000000"/>
          <w:szCs w:val="21"/>
        </w:rPr>
        <w:t>理财产品合同</w:t>
      </w:r>
      <w:r>
        <w:rPr>
          <w:rFonts w:cs="宋体" w:asciiTheme="minorEastAsia" w:hAnsiTheme="minorEastAsia" w:eastAsiaTheme="minorEastAsia"/>
          <w:b/>
          <w:bCs/>
          <w:iCs/>
          <w:color w:val="000000"/>
          <w:szCs w:val="21"/>
        </w:rPr>
        <w:t>对</w:t>
      </w:r>
      <w:r>
        <w:rPr>
          <w:rFonts w:hint="eastAsia" w:cs="宋体" w:asciiTheme="minorEastAsia" w:hAnsiTheme="minorEastAsia" w:eastAsiaTheme="minorEastAsia"/>
          <w:b/>
          <w:bCs/>
          <w:iCs/>
          <w:color w:val="000000"/>
          <w:szCs w:val="21"/>
        </w:rPr>
        <w:t>其</w:t>
      </w:r>
      <w:r>
        <w:rPr>
          <w:rFonts w:cs="宋体" w:asciiTheme="minorEastAsia" w:hAnsiTheme="minorEastAsia" w:eastAsiaTheme="minorEastAsia"/>
          <w:b/>
          <w:bCs/>
          <w:iCs/>
          <w:color w:val="000000"/>
          <w:szCs w:val="21"/>
        </w:rPr>
        <w:t>具有法律约束力。</w:t>
      </w:r>
    </w:p>
    <w:p>
      <w:pPr>
        <w:spacing w:line="360" w:lineRule="auto"/>
        <w:ind w:firstLine="421" w:firstLineChars="200"/>
        <w:rPr>
          <w:rFonts w:cs="宋体" w:asciiTheme="minorEastAsia" w:hAnsiTheme="minorEastAsia" w:eastAsiaTheme="minorEastAsia"/>
          <w:b/>
          <w:bCs/>
          <w:iCs/>
          <w:color w:val="000000"/>
          <w:szCs w:val="21"/>
        </w:rPr>
      </w:pPr>
    </w:p>
    <w:p>
      <w:pPr>
        <w:spacing w:before="240" w:beforeLines="100" w:after="120" w:afterLines="50" w:line="360" w:lineRule="auto"/>
        <w:ind w:firstLine="421" w:firstLineChars="200"/>
        <w:jc w:val="center"/>
        <w:outlineLvl w:val="1"/>
        <w:rPr>
          <w:rFonts w:cs="宋体" w:asciiTheme="minorEastAsia" w:hAnsiTheme="minorEastAsia" w:eastAsiaTheme="minorEastAsia"/>
          <w:b/>
          <w:bCs/>
          <w:iCs/>
          <w:color w:val="000000"/>
          <w:szCs w:val="21"/>
        </w:rPr>
      </w:pPr>
      <w:r>
        <w:rPr>
          <w:rFonts w:hint="eastAsia" w:cs="宋体" w:asciiTheme="minorEastAsia" w:hAnsiTheme="minorEastAsia" w:eastAsiaTheme="minorEastAsia"/>
          <w:b/>
          <w:bCs/>
          <w:iCs/>
          <w:color w:val="000000"/>
          <w:szCs w:val="21"/>
        </w:rPr>
        <w:t>十二、</w:t>
      </w:r>
      <w:r>
        <w:rPr>
          <w:rFonts w:cs="宋体" w:asciiTheme="minorEastAsia" w:hAnsiTheme="minorEastAsia" w:eastAsiaTheme="minorEastAsia"/>
          <w:b/>
          <w:bCs/>
          <w:iCs/>
          <w:color w:val="000000"/>
          <w:szCs w:val="21"/>
        </w:rPr>
        <w:t>相关事项说明</w:t>
      </w:r>
    </w:p>
    <w:p>
      <w:pPr>
        <w:spacing w:line="360" w:lineRule="auto"/>
        <w:ind w:firstLine="42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（一）保密</w:t>
      </w:r>
    </w:p>
    <w:p>
      <w:pPr>
        <w:spacing w:line="360" w:lineRule="auto"/>
        <w:ind w:firstLine="42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1.</w:t>
      </w:r>
      <w:r>
        <w:rPr>
          <w:rFonts w:hint="eastAsia" w:cs="宋体" w:asciiTheme="minorEastAsia" w:hAnsiTheme="minorEastAsia" w:eastAsiaTheme="minorEastAsia"/>
          <w:bCs/>
          <w:iCs/>
          <w:color w:val="000000"/>
          <w:szCs w:val="21"/>
        </w:rPr>
        <w:t>产品管理人将加强信息安全管理，根据法律法规及监管规定要求，对在产品销售和运作过程中获取的投资者信息履行保密义务，但产品管理人可根据监管规定要求，为理财产品登记、反洗钱、反恐怖融资及非居民金融账户涉税信息尽职调查等需要，向登记部门或监管机构提供投资者相关信息，或应理财投资合作机构基于监管报送申请，</w:t>
      </w:r>
      <w:r>
        <w:rPr>
          <w:rFonts w:cs="宋体" w:asciiTheme="minorEastAsia" w:hAnsiTheme="minorEastAsia" w:eastAsiaTheme="minorEastAsia"/>
          <w:bCs/>
          <w:iCs/>
          <w:color w:val="000000"/>
          <w:szCs w:val="21"/>
        </w:rPr>
        <w:t>在必要范围内向</w:t>
      </w:r>
      <w:r>
        <w:rPr>
          <w:rFonts w:hint="eastAsia" w:cs="宋体" w:asciiTheme="minorEastAsia" w:hAnsiTheme="minorEastAsia" w:eastAsiaTheme="minorEastAsia"/>
          <w:bCs/>
          <w:iCs/>
          <w:color w:val="000000"/>
          <w:szCs w:val="21"/>
        </w:rPr>
        <w:t>其提供投资者身份信息、持仓情况等</w:t>
      </w:r>
      <w:r>
        <w:rPr>
          <w:rFonts w:cs="宋体" w:asciiTheme="minorEastAsia" w:hAnsiTheme="minorEastAsia" w:eastAsiaTheme="minorEastAsia"/>
          <w:bCs/>
          <w:iCs/>
          <w:color w:val="000000"/>
          <w:szCs w:val="21"/>
        </w:rPr>
        <w:t>相关信息，</w:t>
      </w:r>
      <w:r>
        <w:rPr>
          <w:rFonts w:hint="eastAsia" w:cs="宋体" w:asciiTheme="minorEastAsia" w:hAnsiTheme="minorEastAsia" w:eastAsiaTheme="minorEastAsia"/>
          <w:bCs/>
          <w:iCs/>
          <w:color w:val="000000"/>
          <w:szCs w:val="21"/>
        </w:rPr>
        <w:t>并要求其履行投资者信息保密义务。</w:t>
      </w:r>
      <w:r>
        <w:rPr>
          <w:rFonts w:cs="宋体" w:asciiTheme="minorEastAsia" w:hAnsiTheme="minorEastAsia" w:eastAsiaTheme="minorEastAsia"/>
          <w:bCs/>
          <w:iCs/>
          <w:color w:val="000000"/>
          <w:szCs w:val="21"/>
        </w:rPr>
        <w:t>投资者签署本理财产品销售文件即视为知悉并同意上述</w:t>
      </w:r>
      <w:r>
        <w:rPr>
          <w:rFonts w:hint="eastAsia" w:cs="宋体" w:asciiTheme="minorEastAsia" w:hAnsiTheme="minorEastAsia" w:eastAsiaTheme="minorEastAsia"/>
          <w:bCs/>
          <w:iCs/>
          <w:color w:val="000000"/>
          <w:szCs w:val="21"/>
        </w:rPr>
        <w:t>情况。</w:t>
      </w:r>
    </w:p>
    <w:p>
      <w:pPr>
        <w:spacing w:line="360" w:lineRule="auto"/>
        <w:ind w:firstLine="42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2.因理财产品运营管理的需要，产品管理人可视情况租用或购买使用专业供应商提供的信息系统（如数据传输系统、客服系统等）。在使用上述系统的过程中，理财产品及投资者相关信息可能会被暂时采集并存储在供应商的服务器上。投资者签署本理财产品销售文件即视为知悉并同意上述</w:t>
      </w:r>
      <w:r>
        <w:rPr>
          <w:rFonts w:hint="eastAsia" w:cs="宋体" w:asciiTheme="minorEastAsia" w:hAnsiTheme="minorEastAsia" w:eastAsiaTheme="minorEastAsia"/>
          <w:bCs/>
          <w:iCs/>
          <w:color w:val="000000"/>
          <w:szCs w:val="21"/>
        </w:rPr>
        <w:t>情况。</w:t>
      </w:r>
    </w:p>
    <w:p>
      <w:pPr>
        <w:spacing w:line="360" w:lineRule="auto"/>
        <w:ind w:firstLine="420"/>
        <w:rPr>
          <w:rFonts w:cs="宋体" w:asciiTheme="minorEastAsia" w:hAnsiTheme="minorEastAsia" w:eastAsiaTheme="minorEastAsia"/>
          <w:bCs/>
          <w:iCs/>
          <w:color w:val="000000"/>
          <w:szCs w:val="21"/>
        </w:rPr>
      </w:pPr>
      <w:r>
        <w:rPr>
          <w:rFonts w:cs="宋体" w:asciiTheme="minorEastAsia" w:hAnsiTheme="minorEastAsia" w:eastAsiaTheme="minorEastAsia"/>
          <w:bCs/>
          <w:iCs/>
          <w:color w:val="000000"/>
          <w:szCs w:val="21"/>
        </w:rPr>
        <w:t>3.</w:t>
      </w:r>
      <w:r>
        <w:rPr>
          <w:rFonts w:hint="eastAsia" w:cs="宋体" w:asciiTheme="minorEastAsia" w:hAnsiTheme="minorEastAsia" w:eastAsiaTheme="minorEastAsia"/>
          <w:bCs/>
          <w:iCs/>
          <w:color w:val="000000"/>
          <w:szCs w:val="21"/>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pPr>
        <w:autoSpaceDE w:val="0"/>
        <w:autoSpaceDN w:val="0"/>
        <w:spacing w:line="360" w:lineRule="auto"/>
        <w:ind w:firstLine="422" w:firstLineChars="201"/>
        <w:rPr>
          <w:rFonts w:asciiTheme="minorEastAsia" w:hAnsiTheme="minorEastAsia" w:eastAsiaTheme="minorEastAsia"/>
          <w:color w:val="000000"/>
        </w:rPr>
      </w:pPr>
      <w:r>
        <w:rPr>
          <w:rFonts w:hint="eastAsia" w:cs="宋体" w:asciiTheme="minorEastAsia" w:hAnsiTheme="minorEastAsia" w:eastAsiaTheme="minorEastAsia"/>
          <w:bCs/>
          <w:iCs/>
          <w:color w:val="000000"/>
          <w:szCs w:val="21"/>
        </w:rPr>
        <w:t>（二）本理财产品合同的订立、生效、履行、解释、修改和终止等事项的适用法律和争议解决方式按照《投资协议书》的相关约定执行。</w:t>
      </w:r>
    </w:p>
    <w:p>
      <w:pPr>
        <w:autoSpaceDE w:val="0"/>
        <w:autoSpaceDN w:val="0"/>
        <w:spacing w:line="360" w:lineRule="auto"/>
        <w:ind w:firstLine="422" w:firstLineChars="201"/>
        <w:rPr>
          <w:rFonts w:cs="宋体" w:asciiTheme="minorEastAsia" w:hAnsiTheme="minorEastAsia" w:eastAsiaTheme="minorEastAsia"/>
          <w:sz w:val="22"/>
          <w:szCs w:val="22"/>
        </w:rPr>
      </w:pPr>
      <w:r>
        <w:rPr>
          <w:rFonts w:hint="eastAsia" w:cs="宋体" w:asciiTheme="minorEastAsia" w:hAnsiTheme="minorEastAsia" w:eastAsiaTheme="minorEastAsia"/>
          <w:bCs/>
          <w:iCs/>
          <w:color w:val="000000"/>
          <w:szCs w:val="21"/>
        </w:rPr>
        <w:t>（三）因产品管理人客观不能预见、不能避免、不能克服的不可抗力事件或意外事件，导致产品管理人无法或需延后履行本理财产品合同有关义务的，产品管理人不承担责任，但产品管理人存在故意或重大过失的除外。管理人应在条件允许的情况下，采取必要的补救措施以减少损失。</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（四）</w:t>
      </w:r>
      <w:r>
        <w:rPr>
          <w:rFonts w:cs="宋体" w:asciiTheme="minorEastAsia" w:hAnsiTheme="minorEastAsia" w:eastAsiaTheme="minorEastAsia"/>
          <w:bCs/>
          <w:iCs/>
          <w:color w:val="000000"/>
          <w:szCs w:val="21"/>
        </w:rPr>
        <w:t>本</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中示例均采用假设数据，并不代表</w:t>
      </w:r>
      <w:r>
        <w:rPr>
          <w:rFonts w:hint="eastAsia" w:cs="宋体" w:asciiTheme="minorEastAsia" w:hAnsiTheme="minorEastAsia" w:eastAsiaTheme="minorEastAsia"/>
          <w:bCs/>
          <w:iCs/>
          <w:color w:val="000000"/>
          <w:szCs w:val="21"/>
        </w:rPr>
        <w:t>投资者</w:t>
      </w:r>
      <w:r>
        <w:rPr>
          <w:rFonts w:cs="宋体" w:asciiTheme="minorEastAsia" w:hAnsiTheme="minorEastAsia" w:eastAsiaTheme="minorEastAsia"/>
          <w:bCs/>
          <w:iCs/>
          <w:color w:val="000000"/>
          <w:szCs w:val="21"/>
        </w:rPr>
        <w:t>实际可获得的收益。</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（五）</w:t>
      </w:r>
      <w:r>
        <w:rPr>
          <w:rFonts w:cs="宋体" w:asciiTheme="minorEastAsia" w:hAnsiTheme="minorEastAsia" w:eastAsiaTheme="minorEastAsia"/>
          <w:bCs/>
          <w:iCs/>
          <w:color w:val="000000"/>
          <w:szCs w:val="21"/>
        </w:rPr>
        <w:t>受理时间、信息公布的相关时间以</w:t>
      </w:r>
      <w:r>
        <w:rPr>
          <w:rFonts w:hint="eastAsia" w:cs="宋体" w:asciiTheme="minorEastAsia" w:hAnsiTheme="minorEastAsia" w:eastAsiaTheme="minorEastAsia"/>
          <w:bCs/>
          <w:iCs/>
          <w:color w:val="000000"/>
          <w:szCs w:val="21"/>
        </w:rPr>
        <w:t>浦</w:t>
      </w:r>
      <w:r>
        <w:rPr>
          <w:rFonts w:cs="宋体" w:asciiTheme="minorEastAsia" w:hAnsiTheme="minorEastAsia" w:eastAsiaTheme="minorEastAsia"/>
          <w:bCs/>
          <w:iCs/>
          <w:color w:val="000000"/>
          <w:szCs w:val="21"/>
        </w:rPr>
        <w:t>银理财业务处理系统记录的北京时间为准。</w:t>
      </w:r>
    </w:p>
    <w:p>
      <w:pPr>
        <w:spacing w:line="360" w:lineRule="auto"/>
        <w:ind w:firstLine="420" w:firstLineChars="200"/>
        <w:rPr>
          <w:rFonts w:cs="宋体" w:asciiTheme="minorEastAsia" w:hAnsiTheme="minorEastAsia" w:eastAsiaTheme="minorEastAsia"/>
          <w:bCs/>
          <w:iCs/>
          <w:color w:val="000000"/>
          <w:szCs w:val="21"/>
        </w:rPr>
      </w:pPr>
      <w:r>
        <w:rPr>
          <w:rFonts w:hint="eastAsia" w:cs="宋体" w:asciiTheme="minorEastAsia" w:hAnsiTheme="minorEastAsia" w:eastAsiaTheme="minorEastAsia"/>
          <w:bCs/>
          <w:iCs/>
          <w:color w:val="000000"/>
          <w:szCs w:val="21"/>
        </w:rPr>
        <w:t>（六）</w:t>
      </w:r>
      <w:r>
        <w:rPr>
          <w:rFonts w:cs="宋体" w:asciiTheme="minorEastAsia" w:hAnsiTheme="minorEastAsia" w:eastAsiaTheme="minorEastAsia"/>
          <w:bCs/>
          <w:iCs/>
          <w:color w:val="000000"/>
          <w:szCs w:val="21"/>
        </w:rPr>
        <w:t>如投资者对本</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有任何异议或意见，请联系本</w:t>
      </w:r>
      <w:r>
        <w:rPr>
          <w:rFonts w:hint="eastAsia" w:cs="宋体" w:asciiTheme="minorEastAsia" w:hAnsiTheme="minorEastAsia" w:eastAsiaTheme="minorEastAsia"/>
          <w:bCs/>
          <w:iCs/>
          <w:color w:val="000000"/>
          <w:szCs w:val="21"/>
        </w:rPr>
        <w:t>理财产品</w:t>
      </w:r>
      <w:r>
        <w:rPr>
          <w:rFonts w:cs="宋体" w:asciiTheme="minorEastAsia" w:hAnsiTheme="minorEastAsia" w:eastAsiaTheme="minorEastAsia"/>
          <w:bCs/>
          <w:iCs/>
          <w:color w:val="000000"/>
          <w:szCs w:val="21"/>
        </w:rPr>
        <w:t>的销售机构的理财经理或反馈至销售机构，也可致电销售机构客户服务热线</w:t>
      </w:r>
      <w:r>
        <w:rPr>
          <w:rFonts w:hint="eastAsia" w:cs="宋体" w:asciiTheme="minorEastAsia" w:hAnsiTheme="minorEastAsia" w:eastAsiaTheme="minorEastAsia"/>
          <w:bCs/>
          <w:iCs/>
          <w:color w:val="000000"/>
          <w:szCs w:val="21"/>
        </w:rPr>
        <w:t>。</w:t>
      </w:r>
    </w:p>
    <w:p>
      <w:pPr>
        <w:spacing w:line="360" w:lineRule="auto"/>
        <w:ind w:firstLine="421" w:firstLineChars="200"/>
        <w:rPr>
          <w:rFonts w:asciiTheme="minorEastAsia" w:hAnsiTheme="minorEastAsia" w:eastAsiaTheme="minorEastAsia"/>
          <w:b/>
          <w:szCs w:val="21"/>
        </w:rPr>
      </w:pPr>
      <w:r>
        <w:rPr>
          <w:rFonts w:hint="eastAsia" w:cs="宋体" w:asciiTheme="minorEastAsia" w:hAnsiTheme="minorEastAsia" w:eastAsiaTheme="minorEastAsia"/>
          <w:b/>
          <w:bCs/>
          <w:iCs/>
          <w:color w:val="000000"/>
          <w:szCs w:val="21"/>
        </w:rPr>
        <w:t>（七）特别提示：</w:t>
      </w:r>
      <w:r>
        <w:rPr>
          <w:rFonts w:hint="eastAsia" w:cs="宋体" w:asciiTheme="minorEastAsia" w:hAnsiTheme="minorEastAsia" w:eastAsiaTheme="minorEastAsia"/>
          <w:b/>
          <w:bCs/>
          <w:iCs/>
          <w:color w:val="000000"/>
          <w:szCs w:val="21"/>
          <w:u w:val="single"/>
        </w:rPr>
        <w:t>理财产品过往业绩不代表其未来表现，不等于理财产品实际收益，投资须谨慎。</w:t>
      </w:r>
    </w:p>
    <w:p>
      <w:pPr>
        <w:spacing w:line="360" w:lineRule="auto"/>
        <w:rPr>
          <w:rFonts w:cs="宋体" w:asciiTheme="minorEastAsia" w:hAnsiTheme="minorEastAsia" w:eastAsiaTheme="minorEastAsia"/>
          <w:bCs/>
          <w:iCs/>
          <w:color w:val="000000"/>
          <w:szCs w:val="21"/>
        </w:rPr>
      </w:pPr>
    </w:p>
    <w:sectPr>
      <w:headerReference r:id="rId6" w:type="default"/>
      <w:footerReference r:id="rId7" w:type="default"/>
      <w:type w:val="continuous"/>
      <w:pgSz w:w="11920" w:h="1685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IDAutomationHC39M"/>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IDAutomationHC39M"/>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CJK JP Medium">
    <w:altName w:val="阿里巴巴普惠体 R"/>
    <w:panose1 w:val="00000000000000000000"/>
    <w:charset w:val="00"/>
    <w:family w:val="swiss"/>
    <w:pitch w:val="default"/>
    <w:sig w:usb0="00000000" w:usb1="00000000" w:usb2="00000000" w:usb3="00000000" w:csb0="00000000" w:csb1="00000000"/>
  </w:font>
  <w:font w:name="阿里巴巴普惠体 R">
    <w:panose1 w:val="00020600040101010101"/>
    <w:charset w:val="86"/>
    <w:family w:val="auto"/>
    <w:pitch w:val="default"/>
    <w:sig w:usb0="A00002FF" w:usb1="7ACF7CFB" w:usb2="0000001E" w:usb3="00000000" w:csb0="0004009F" w:csb1="00000000"/>
  </w:font>
  <w:font w:name="Noto Sans Mono CJK JP Bold">
    <w:panose1 w:val="020B0800000000000000"/>
    <w:charset w:val="86"/>
    <w:family w:val="swiss"/>
    <w:pitch w:val="default"/>
    <w:sig w:usb0="30000003" w:usb1="2BDF3C10" w:usb2="00000016" w:usb3="00000000" w:csb0="602E0107" w:csb1="00000000"/>
  </w:font>
  <w:font w:name="Tahoma">
    <w:altName w:val="DejaVu Sans"/>
    <w:panose1 w:val="020B0604030504040204"/>
    <w:charset w:val="00"/>
    <w:family w:val="swiss"/>
    <w:pitch w:val="default"/>
    <w:sig w:usb0="00000000" w:usb1="00000000" w:usb2="00000029" w:usb3="00000000" w:csb0="000101FF" w:csb1="00000000"/>
  </w:font>
  <w:font w:name="Calibri Light">
    <w:altName w:val="DejaVu Sans"/>
    <w:panose1 w:val="020F0302020204030204"/>
    <w:charset w:val="00"/>
    <w:family w:val="swiss"/>
    <w:pitch w:val="default"/>
    <w:sig w:usb0="00000000" w:usb1="00000000" w:usb2="00000009" w:usb3="00000000" w:csb0="000001FF"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8636285"/>
    </w:sdtPr>
    <w:sdtContent>
      <w:p>
        <w:pPr>
          <w:pStyle w:val="9"/>
        </w:pPr>
      </w:p>
      <w:p>
        <w:pPr>
          <w:pStyle w:val="9"/>
          <w:rPr>
            <w:rFonts w:ascii="Times New Roman" w:hAnsi="Times New Roman" w:eastAsia="仿宋_GB2312" w:cs="Times New Roman"/>
            <w:kern w:val="0"/>
            <w:sz w:val="21"/>
            <w:szCs w:val="20"/>
          </w:rPr>
        </w:pPr>
        <w:r>
          <w:rPr>
            <w:rFonts w:hint="eastAsia"/>
            <w:color w:val="2F5597" w:themeColor="accent5" w:themeShade="BF"/>
          </w:rPr>
          <w:t>浦银理财·现金管理类</w:t>
        </w:r>
        <w:r>
          <w:rPr>
            <w:color w:val="2F5597" w:themeColor="accent5" w:themeShade="BF"/>
          </w:rPr>
          <w:t xml:space="preserve"> </w:t>
        </w:r>
        <w:r>
          <w:t xml:space="preserve">                                                        </w:t>
        </w:r>
        <w:r>
          <w:rPr>
            <w:rFonts w:hint="eastAsia"/>
          </w:rPr>
          <w:t>第</w:t>
        </w:r>
        <w:r>
          <w:rPr>
            <w:rFonts w:ascii="宋体" w:hAnsi="宋体" w:eastAsia="宋体"/>
            <w:bCs/>
          </w:rPr>
          <w:fldChar w:fldCharType="begin"/>
        </w:r>
        <w:r>
          <w:rPr>
            <w:rFonts w:ascii="宋体" w:hAnsi="宋体" w:eastAsia="宋体"/>
            <w:bCs/>
          </w:rPr>
          <w:instrText xml:space="preserve">PAGE</w:instrText>
        </w:r>
        <w:r>
          <w:rPr>
            <w:rFonts w:ascii="宋体" w:hAnsi="宋体" w:eastAsia="宋体"/>
            <w:bCs/>
          </w:rPr>
          <w:fldChar w:fldCharType="separate"/>
        </w:r>
        <w:r>
          <w:rPr>
            <w:rFonts w:ascii="宋体" w:hAnsi="宋体" w:eastAsia="宋体"/>
            <w:bCs/>
          </w:rPr>
          <w:t>1</w:t>
        </w:r>
        <w:r>
          <w:rPr>
            <w:rFonts w:ascii="宋体" w:hAnsi="宋体" w:eastAsia="宋体"/>
            <w:bCs/>
          </w:rPr>
          <w:fldChar w:fldCharType="end"/>
        </w:r>
        <w:r>
          <w:rPr>
            <w:rFonts w:hint="eastAsia" w:ascii="宋体" w:hAnsi="宋体" w:eastAsia="宋体"/>
            <w:bCs/>
          </w:rPr>
          <w:t>页，共</w:t>
        </w:r>
        <w:r>
          <w:rPr>
            <w:rFonts w:ascii="宋体" w:hAnsi="宋体" w:eastAsia="宋体"/>
            <w:bCs/>
          </w:rPr>
          <w:fldChar w:fldCharType="begin"/>
        </w:r>
        <w:r>
          <w:rPr>
            <w:rFonts w:ascii="宋体" w:hAnsi="宋体" w:eastAsia="宋体"/>
            <w:bCs/>
          </w:rPr>
          <w:instrText xml:space="preserve">NUMPAGES</w:instrText>
        </w:r>
        <w:r>
          <w:rPr>
            <w:rFonts w:ascii="宋体" w:hAnsi="宋体" w:eastAsia="宋体"/>
            <w:bCs/>
          </w:rPr>
          <w:fldChar w:fldCharType="separate"/>
        </w:r>
        <w:r>
          <w:rPr>
            <w:rFonts w:ascii="宋体" w:hAnsi="宋体" w:eastAsia="宋体"/>
            <w:bCs/>
          </w:rPr>
          <w:t>33</w:t>
        </w:r>
        <w:r>
          <w:rPr>
            <w:rFonts w:ascii="宋体" w:hAnsi="宋体" w:eastAsia="宋体"/>
            <w:bCs/>
          </w:rPr>
          <w:fldChar w:fldCharType="end"/>
        </w:r>
        <w:r>
          <w:rPr>
            <w:rFonts w:hint="eastAsia" w:ascii="宋体" w:hAnsi="宋体"/>
          </w:rPr>
          <w:t>页</w:t>
        </w:r>
      </w:p>
    </w:sdtContent>
  </w:sdt>
  <w:p>
    <w:pPr>
      <w:pStyle w:val="9"/>
      <w:wordWrap w:val="0"/>
      <w:ind w:right="54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ascii="Times New Roman" w:hAnsi="Times New Roman" w:eastAsia="仿宋_GB2312" w:cs="Times New Roman"/>
        <w:kern w:val="0"/>
        <w:sz w:val="21"/>
        <w:szCs w:val="20"/>
      </w:rPr>
    </w:pPr>
    <w:r>
      <w:rPr>
        <w:rFonts w:hint="eastAsia"/>
        <w:color w:val="2F5597" w:themeColor="accent5" w:themeShade="BF"/>
      </w:rPr>
      <w:t>浦银理财·现金管理类</w:t>
    </w:r>
    <w:r>
      <w:rPr>
        <w:color w:val="2F5597" w:themeColor="accent5" w:themeShade="BF"/>
      </w:rPr>
      <w:t xml:space="preserve"> </w:t>
    </w:r>
    <w:r>
      <w:t xml:space="preserve">                                                       </w:t>
    </w:r>
    <w:r>
      <w:rPr>
        <w:rFonts w:hint="eastAsia"/>
      </w:rPr>
      <w:t>第</w:t>
    </w:r>
    <w:r>
      <w:rPr>
        <w:rFonts w:ascii="宋体" w:hAnsi="宋体" w:eastAsia="宋体"/>
        <w:bCs/>
      </w:rPr>
      <w:fldChar w:fldCharType="begin"/>
    </w:r>
    <w:r>
      <w:rPr>
        <w:rFonts w:ascii="宋体" w:hAnsi="宋体" w:eastAsia="宋体"/>
        <w:bCs/>
      </w:rPr>
      <w:instrText xml:space="preserve">PAGE</w:instrText>
    </w:r>
    <w:r>
      <w:rPr>
        <w:rFonts w:ascii="宋体" w:hAnsi="宋体" w:eastAsia="宋体"/>
        <w:bCs/>
      </w:rPr>
      <w:fldChar w:fldCharType="separate"/>
    </w:r>
    <w:r>
      <w:rPr>
        <w:rFonts w:ascii="宋体" w:hAnsi="宋体" w:eastAsia="宋体"/>
        <w:bCs/>
      </w:rPr>
      <w:t>26</w:t>
    </w:r>
    <w:r>
      <w:rPr>
        <w:rFonts w:ascii="宋体" w:hAnsi="宋体" w:eastAsia="宋体"/>
        <w:bCs/>
      </w:rPr>
      <w:fldChar w:fldCharType="end"/>
    </w:r>
    <w:r>
      <w:rPr>
        <w:rFonts w:hint="eastAsia" w:ascii="宋体" w:hAnsi="宋体" w:eastAsia="宋体"/>
        <w:bCs/>
      </w:rPr>
      <w:t>页，共</w:t>
    </w:r>
    <w:r>
      <w:rPr>
        <w:rFonts w:ascii="宋体" w:hAnsi="宋体" w:eastAsia="宋体"/>
        <w:bCs/>
      </w:rPr>
      <w:fldChar w:fldCharType="begin"/>
    </w:r>
    <w:r>
      <w:rPr>
        <w:rFonts w:ascii="宋体" w:hAnsi="宋体" w:eastAsia="宋体"/>
        <w:bCs/>
      </w:rPr>
      <w:instrText xml:space="preserve">NUMPAGES</w:instrText>
    </w:r>
    <w:r>
      <w:rPr>
        <w:rFonts w:ascii="宋体" w:hAnsi="宋体" w:eastAsia="宋体"/>
        <w:bCs/>
      </w:rPr>
      <w:fldChar w:fldCharType="separate"/>
    </w:r>
    <w:r>
      <w:rPr>
        <w:rFonts w:ascii="宋体" w:hAnsi="宋体" w:eastAsia="宋体"/>
        <w:bCs/>
      </w:rPr>
      <w:t>33</w:t>
    </w:r>
    <w:r>
      <w:rPr>
        <w:rFonts w:ascii="宋体" w:hAnsi="宋体" w:eastAsia="宋体"/>
        <w:bCs/>
      </w:rPr>
      <w:fldChar w:fldCharType="end"/>
    </w:r>
    <w:r>
      <w:rPr>
        <w:rFonts w:hint="eastAsia" w:ascii="宋体" w:hAnsi="宋体"/>
      </w:rPr>
      <w:t>页</w:t>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5B45E6"/>
    <w:rsid w:val="0000097F"/>
    <w:rsid w:val="00000D63"/>
    <w:rsid w:val="0000124E"/>
    <w:rsid w:val="00001880"/>
    <w:rsid w:val="00001BC5"/>
    <w:rsid w:val="00002227"/>
    <w:rsid w:val="000033D0"/>
    <w:rsid w:val="00003923"/>
    <w:rsid w:val="00004181"/>
    <w:rsid w:val="00004477"/>
    <w:rsid w:val="000045EB"/>
    <w:rsid w:val="000046F8"/>
    <w:rsid w:val="00005215"/>
    <w:rsid w:val="0000625A"/>
    <w:rsid w:val="000062C3"/>
    <w:rsid w:val="000070C2"/>
    <w:rsid w:val="0000725C"/>
    <w:rsid w:val="00007270"/>
    <w:rsid w:val="00007935"/>
    <w:rsid w:val="00010288"/>
    <w:rsid w:val="0001062C"/>
    <w:rsid w:val="0001091C"/>
    <w:rsid w:val="000112AC"/>
    <w:rsid w:val="00011464"/>
    <w:rsid w:val="00012687"/>
    <w:rsid w:val="0001295E"/>
    <w:rsid w:val="00012D07"/>
    <w:rsid w:val="00012FAC"/>
    <w:rsid w:val="00013051"/>
    <w:rsid w:val="00013116"/>
    <w:rsid w:val="000135FB"/>
    <w:rsid w:val="00013A2D"/>
    <w:rsid w:val="0001409D"/>
    <w:rsid w:val="0001506D"/>
    <w:rsid w:val="00015471"/>
    <w:rsid w:val="0001564C"/>
    <w:rsid w:val="000158EB"/>
    <w:rsid w:val="00015EB2"/>
    <w:rsid w:val="00016ABC"/>
    <w:rsid w:val="00016E1B"/>
    <w:rsid w:val="00016E34"/>
    <w:rsid w:val="00017038"/>
    <w:rsid w:val="00017B53"/>
    <w:rsid w:val="00017B9E"/>
    <w:rsid w:val="00017C09"/>
    <w:rsid w:val="00020501"/>
    <w:rsid w:val="000205C3"/>
    <w:rsid w:val="0002064B"/>
    <w:rsid w:val="00021F84"/>
    <w:rsid w:val="00022973"/>
    <w:rsid w:val="00022C63"/>
    <w:rsid w:val="00023998"/>
    <w:rsid w:val="00023CC6"/>
    <w:rsid w:val="00024FCC"/>
    <w:rsid w:val="0002574E"/>
    <w:rsid w:val="000259AB"/>
    <w:rsid w:val="00025B8A"/>
    <w:rsid w:val="000261B4"/>
    <w:rsid w:val="00026715"/>
    <w:rsid w:val="00026DDA"/>
    <w:rsid w:val="00026E58"/>
    <w:rsid w:val="0002710E"/>
    <w:rsid w:val="00027893"/>
    <w:rsid w:val="00030945"/>
    <w:rsid w:val="00030ABE"/>
    <w:rsid w:val="00030B79"/>
    <w:rsid w:val="00030D7F"/>
    <w:rsid w:val="00031EFC"/>
    <w:rsid w:val="00032496"/>
    <w:rsid w:val="0003284D"/>
    <w:rsid w:val="000328B3"/>
    <w:rsid w:val="00032B87"/>
    <w:rsid w:val="00032F72"/>
    <w:rsid w:val="00033304"/>
    <w:rsid w:val="000333F3"/>
    <w:rsid w:val="0003378A"/>
    <w:rsid w:val="00034BD3"/>
    <w:rsid w:val="00034FC9"/>
    <w:rsid w:val="00035195"/>
    <w:rsid w:val="0003582C"/>
    <w:rsid w:val="00035A82"/>
    <w:rsid w:val="00035CE7"/>
    <w:rsid w:val="000363C5"/>
    <w:rsid w:val="00037018"/>
    <w:rsid w:val="00037182"/>
    <w:rsid w:val="00037523"/>
    <w:rsid w:val="000375AA"/>
    <w:rsid w:val="00037C9A"/>
    <w:rsid w:val="00040111"/>
    <w:rsid w:val="0004037C"/>
    <w:rsid w:val="00040724"/>
    <w:rsid w:val="0004075D"/>
    <w:rsid w:val="000408A6"/>
    <w:rsid w:val="000416F4"/>
    <w:rsid w:val="00041AA5"/>
    <w:rsid w:val="00041B27"/>
    <w:rsid w:val="00041EAD"/>
    <w:rsid w:val="000421D5"/>
    <w:rsid w:val="0004289F"/>
    <w:rsid w:val="00042A01"/>
    <w:rsid w:val="00044099"/>
    <w:rsid w:val="00044A37"/>
    <w:rsid w:val="00044A80"/>
    <w:rsid w:val="00045282"/>
    <w:rsid w:val="00045438"/>
    <w:rsid w:val="00046993"/>
    <w:rsid w:val="000469A8"/>
    <w:rsid w:val="00047E0E"/>
    <w:rsid w:val="00050B8A"/>
    <w:rsid w:val="00051A22"/>
    <w:rsid w:val="00052CDA"/>
    <w:rsid w:val="00052D16"/>
    <w:rsid w:val="00052F77"/>
    <w:rsid w:val="00053C14"/>
    <w:rsid w:val="00053D8D"/>
    <w:rsid w:val="00053E52"/>
    <w:rsid w:val="000543BC"/>
    <w:rsid w:val="0005455B"/>
    <w:rsid w:val="00054632"/>
    <w:rsid w:val="00054E86"/>
    <w:rsid w:val="0005558E"/>
    <w:rsid w:val="00055986"/>
    <w:rsid w:val="00056270"/>
    <w:rsid w:val="00056326"/>
    <w:rsid w:val="000563AB"/>
    <w:rsid w:val="00056877"/>
    <w:rsid w:val="00056BA2"/>
    <w:rsid w:val="00056BC0"/>
    <w:rsid w:val="00056C74"/>
    <w:rsid w:val="00057240"/>
    <w:rsid w:val="00060661"/>
    <w:rsid w:val="00061035"/>
    <w:rsid w:val="00061A2F"/>
    <w:rsid w:val="00061E2E"/>
    <w:rsid w:val="0006231C"/>
    <w:rsid w:val="00063B1F"/>
    <w:rsid w:val="00064A85"/>
    <w:rsid w:val="00064B27"/>
    <w:rsid w:val="000657D5"/>
    <w:rsid w:val="00065B24"/>
    <w:rsid w:val="00066150"/>
    <w:rsid w:val="000661B8"/>
    <w:rsid w:val="00066205"/>
    <w:rsid w:val="00066866"/>
    <w:rsid w:val="00066A41"/>
    <w:rsid w:val="0006724B"/>
    <w:rsid w:val="0006733E"/>
    <w:rsid w:val="00067604"/>
    <w:rsid w:val="00067816"/>
    <w:rsid w:val="00067AEB"/>
    <w:rsid w:val="00067F24"/>
    <w:rsid w:val="0007011D"/>
    <w:rsid w:val="000702B1"/>
    <w:rsid w:val="00070C2D"/>
    <w:rsid w:val="00070CE7"/>
    <w:rsid w:val="00070DED"/>
    <w:rsid w:val="00071571"/>
    <w:rsid w:val="000715A4"/>
    <w:rsid w:val="00071C1E"/>
    <w:rsid w:val="00071EA4"/>
    <w:rsid w:val="0007244E"/>
    <w:rsid w:val="00072742"/>
    <w:rsid w:val="00072ED0"/>
    <w:rsid w:val="000734B8"/>
    <w:rsid w:val="0007382D"/>
    <w:rsid w:val="00073EC0"/>
    <w:rsid w:val="00075220"/>
    <w:rsid w:val="000757ED"/>
    <w:rsid w:val="00075826"/>
    <w:rsid w:val="00075D7F"/>
    <w:rsid w:val="0007732A"/>
    <w:rsid w:val="00077478"/>
    <w:rsid w:val="0007787F"/>
    <w:rsid w:val="00077D51"/>
    <w:rsid w:val="000814D9"/>
    <w:rsid w:val="0008283F"/>
    <w:rsid w:val="000828C3"/>
    <w:rsid w:val="000829F8"/>
    <w:rsid w:val="00082C52"/>
    <w:rsid w:val="00082D3D"/>
    <w:rsid w:val="00083083"/>
    <w:rsid w:val="000834F5"/>
    <w:rsid w:val="00083799"/>
    <w:rsid w:val="00083F54"/>
    <w:rsid w:val="00085F0D"/>
    <w:rsid w:val="00086F74"/>
    <w:rsid w:val="00087720"/>
    <w:rsid w:val="00087B00"/>
    <w:rsid w:val="00090668"/>
    <w:rsid w:val="000909B8"/>
    <w:rsid w:val="000911AD"/>
    <w:rsid w:val="0009183C"/>
    <w:rsid w:val="00092540"/>
    <w:rsid w:val="000932E3"/>
    <w:rsid w:val="000938EF"/>
    <w:rsid w:val="00094209"/>
    <w:rsid w:val="000946C4"/>
    <w:rsid w:val="000947AE"/>
    <w:rsid w:val="0009492B"/>
    <w:rsid w:val="00094B5D"/>
    <w:rsid w:val="00094DD5"/>
    <w:rsid w:val="000950AF"/>
    <w:rsid w:val="000958B4"/>
    <w:rsid w:val="0009634C"/>
    <w:rsid w:val="00096461"/>
    <w:rsid w:val="00096958"/>
    <w:rsid w:val="000970D6"/>
    <w:rsid w:val="000970FF"/>
    <w:rsid w:val="00097373"/>
    <w:rsid w:val="00097808"/>
    <w:rsid w:val="00097D49"/>
    <w:rsid w:val="00097F4D"/>
    <w:rsid w:val="000A02EA"/>
    <w:rsid w:val="000A0384"/>
    <w:rsid w:val="000A0F01"/>
    <w:rsid w:val="000A11F6"/>
    <w:rsid w:val="000A14F3"/>
    <w:rsid w:val="000A1691"/>
    <w:rsid w:val="000A1C4A"/>
    <w:rsid w:val="000A211A"/>
    <w:rsid w:val="000A29C6"/>
    <w:rsid w:val="000A2B92"/>
    <w:rsid w:val="000A397B"/>
    <w:rsid w:val="000A417B"/>
    <w:rsid w:val="000A44D2"/>
    <w:rsid w:val="000A4A48"/>
    <w:rsid w:val="000A4C23"/>
    <w:rsid w:val="000A539B"/>
    <w:rsid w:val="000A580C"/>
    <w:rsid w:val="000A628B"/>
    <w:rsid w:val="000A64C5"/>
    <w:rsid w:val="000A692B"/>
    <w:rsid w:val="000A6BA2"/>
    <w:rsid w:val="000A6E10"/>
    <w:rsid w:val="000A78FE"/>
    <w:rsid w:val="000B036C"/>
    <w:rsid w:val="000B05AF"/>
    <w:rsid w:val="000B0ADD"/>
    <w:rsid w:val="000B0DDD"/>
    <w:rsid w:val="000B10FE"/>
    <w:rsid w:val="000B14EC"/>
    <w:rsid w:val="000B1A56"/>
    <w:rsid w:val="000B1AE1"/>
    <w:rsid w:val="000B1C21"/>
    <w:rsid w:val="000B3652"/>
    <w:rsid w:val="000B4183"/>
    <w:rsid w:val="000B4E8E"/>
    <w:rsid w:val="000B51D9"/>
    <w:rsid w:val="000B589E"/>
    <w:rsid w:val="000B5977"/>
    <w:rsid w:val="000B5A50"/>
    <w:rsid w:val="000B6B84"/>
    <w:rsid w:val="000B715C"/>
    <w:rsid w:val="000B76B3"/>
    <w:rsid w:val="000B7875"/>
    <w:rsid w:val="000C017B"/>
    <w:rsid w:val="000C0732"/>
    <w:rsid w:val="000C081A"/>
    <w:rsid w:val="000C19BC"/>
    <w:rsid w:val="000C1AA8"/>
    <w:rsid w:val="000C23CF"/>
    <w:rsid w:val="000C25C2"/>
    <w:rsid w:val="000C2638"/>
    <w:rsid w:val="000C28A3"/>
    <w:rsid w:val="000C2E12"/>
    <w:rsid w:val="000C3934"/>
    <w:rsid w:val="000C4223"/>
    <w:rsid w:val="000C47B1"/>
    <w:rsid w:val="000C5637"/>
    <w:rsid w:val="000C60A6"/>
    <w:rsid w:val="000C65AE"/>
    <w:rsid w:val="000C6ABA"/>
    <w:rsid w:val="000C6AD6"/>
    <w:rsid w:val="000C7D97"/>
    <w:rsid w:val="000D02F6"/>
    <w:rsid w:val="000D059F"/>
    <w:rsid w:val="000D07A4"/>
    <w:rsid w:val="000D1908"/>
    <w:rsid w:val="000D1EED"/>
    <w:rsid w:val="000D1F5D"/>
    <w:rsid w:val="000D1FFD"/>
    <w:rsid w:val="000D24B9"/>
    <w:rsid w:val="000D27A0"/>
    <w:rsid w:val="000D27C4"/>
    <w:rsid w:val="000D2D4A"/>
    <w:rsid w:val="000D33B9"/>
    <w:rsid w:val="000D3C66"/>
    <w:rsid w:val="000D3F23"/>
    <w:rsid w:val="000D4030"/>
    <w:rsid w:val="000D43EB"/>
    <w:rsid w:val="000D45AF"/>
    <w:rsid w:val="000D4730"/>
    <w:rsid w:val="000D4B1E"/>
    <w:rsid w:val="000D4CA8"/>
    <w:rsid w:val="000D4D30"/>
    <w:rsid w:val="000D513B"/>
    <w:rsid w:val="000D5417"/>
    <w:rsid w:val="000D5BC2"/>
    <w:rsid w:val="000D5C7A"/>
    <w:rsid w:val="000D62E4"/>
    <w:rsid w:val="000D6307"/>
    <w:rsid w:val="000D6653"/>
    <w:rsid w:val="000D68A4"/>
    <w:rsid w:val="000D6D80"/>
    <w:rsid w:val="000D77E1"/>
    <w:rsid w:val="000D7D92"/>
    <w:rsid w:val="000E0230"/>
    <w:rsid w:val="000E04E9"/>
    <w:rsid w:val="000E077D"/>
    <w:rsid w:val="000E0CFE"/>
    <w:rsid w:val="000E1251"/>
    <w:rsid w:val="000E127F"/>
    <w:rsid w:val="000E12DE"/>
    <w:rsid w:val="000E2002"/>
    <w:rsid w:val="000E239E"/>
    <w:rsid w:val="000E3589"/>
    <w:rsid w:val="000E4A5A"/>
    <w:rsid w:val="000E5696"/>
    <w:rsid w:val="000E57EE"/>
    <w:rsid w:val="000E6423"/>
    <w:rsid w:val="000E67E8"/>
    <w:rsid w:val="000E6ACB"/>
    <w:rsid w:val="000E6C08"/>
    <w:rsid w:val="000E6C45"/>
    <w:rsid w:val="000E71D3"/>
    <w:rsid w:val="000E7A92"/>
    <w:rsid w:val="000E7CDB"/>
    <w:rsid w:val="000F03E8"/>
    <w:rsid w:val="000F083E"/>
    <w:rsid w:val="000F0999"/>
    <w:rsid w:val="000F0E52"/>
    <w:rsid w:val="000F177E"/>
    <w:rsid w:val="000F18BF"/>
    <w:rsid w:val="000F1B51"/>
    <w:rsid w:val="000F2E84"/>
    <w:rsid w:val="000F2E8D"/>
    <w:rsid w:val="000F31F2"/>
    <w:rsid w:val="000F3756"/>
    <w:rsid w:val="000F3D59"/>
    <w:rsid w:val="000F404A"/>
    <w:rsid w:val="000F405E"/>
    <w:rsid w:val="000F4485"/>
    <w:rsid w:val="000F45E4"/>
    <w:rsid w:val="000F4D5B"/>
    <w:rsid w:val="000F4ED2"/>
    <w:rsid w:val="000F4F1E"/>
    <w:rsid w:val="000F5107"/>
    <w:rsid w:val="000F6593"/>
    <w:rsid w:val="000F6DC8"/>
    <w:rsid w:val="000F70BB"/>
    <w:rsid w:val="000F78AB"/>
    <w:rsid w:val="000F7C85"/>
    <w:rsid w:val="00100402"/>
    <w:rsid w:val="00100562"/>
    <w:rsid w:val="00100C0D"/>
    <w:rsid w:val="001010A1"/>
    <w:rsid w:val="0010119F"/>
    <w:rsid w:val="00101682"/>
    <w:rsid w:val="0010178F"/>
    <w:rsid w:val="00101AB0"/>
    <w:rsid w:val="00101CF8"/>
    <w:rsid w:val="00102B04"/>
    <w:rsid w:val="00102C2F"/>
    <w:rsid w:val="00102C9B"/>
    <w:rsid w:val="00102EF5"/>
    <w:rsid w:val="00103AA7"/>
    <w:rsid w:val="00104205"/>
    <w:rsid w:val="00104D29"/>
    <w:rsid w:val="00105710"/>
    <w:rsid w:val="00106F07"/>
    <w:rsid w:val="00107479"/>
    <w:rsid w:val="00107871"/>
    <w:rsid w:val="00107B75"/>
    <w:rsid w:val="00107BE8"/>
    <w:rsid w:val="00107CF7"/>
    <w:rsid w:val="00110353"/>
    <w:rsid w:val="0011150F"/>
    <w:rsid w:val="0011162C"/>
    <w:rsid w:val="00111D52"/>
    <w:rsid w:val="00111D91"/>
    <w:rsid w:val="0011249A"/>
    <w:rsid w:val="00112688"/>
    <w:rsid w:val="00112900"/>
    <w:rsid w:val="001131A1"/>
    <w:rsid w:val="00113382"/>
    <w:rsid w:val="00113F27"/>
    <w:rsid w:val="00114C7A"/>
    <w:rsid w:val="00115184"/>
    <w:rsid w:val="001152C5"/>
    <w:rsid w:val="001153CD"/>
    <w:rsid w:val="00115FCE"/>
    <w:rsid w:val="001170EB"/>
    <w:rsid w:val="0012106B"/>
    <w:rsid w:val="00121BFA"/>
    <w:rsid w:val="00121FED"/>
    <w:rsid w:val="001228BF"/>
    <w:rsid w:val="00122A37"/>
    <w:rsid w:val="00122C7C"/>
    <w:rsid w:val="00122DE4"/>
    <w:rsid w:val="0012320A"/>
    <w:rsid w:val="0012341B"/>
    <w:rsid w:val="00123795"/>
    <w:rsid w:val="00123C17"/>
    <w:rsid w:val="00123D5D"/>
    <w:rsid w:val="0012520A"/>
    <w:rsid w:val="0012570C"/>
    <w:rsid w:val="00125A6E"/>
    <w:rsid w:val="001263DD"/>
    <w:rsid w:val="00126731"/>
    <w:rsid w:val="00126A76"/>
    <w:rsid w:val="001275F1"/>
    <w:rsid w:val="001278EA"/>
    <w:rsid w:val="001278EE"/>
    <w:rsid w:val="00127C42"/>
    <w:rsid w:val="0013029C"/>
    <w:rsid w:val="00130877"/>
    <w:rsid w:val="001311E3"/>
    <w:rsid w:val="00131296"/>
    <w:rsid w:val="001315B1"/>
    <w:rsid w:val="001315B4"/>
    <w:rsid w:val="00131B27"/>
    <w:rsid w:val="00131C75"/>
    <w:rsid w:val="00131E6A"/>
    <w:rsid w:val="001320A5"/>
    <w:rsid w:val="00132433"/>
    <w:rsid w:val="00132E2E"/>
    <w:rsid w:val="001331F6"/>
    <w:rsid w:val="00133399"/>
    <w:rsid w:val="00133634"/>
    <w:rsid w:val="0013376B"/>
    <w:rsid w:val="0013418A"/>
    <w:rsid w:val="001341C9"/>
    <w:rsid w:val="00134751"/>
    <w:rsid w:val="00135113"/>
    <w:rsid w:val="00135224"/>
    <w:rsid w:val="001352EE"/>
    <w:rsid w:val="00135A6B"/>
    <w:rsid w:val="00135DD0"/>
    <w:rsid w:val="0013607E"/>
    <w:rsid w:val="001361AD"/>
    <w:rsid w:val="00136833"/>
    <w:rsid w:val="001369AA"/>
    <w:rsid w:val="00136F1E"/>
    <w:rsid w:val="00137F47"/>
    <w:rsid w:val="00140015"/>
    <w:rsid w:val="0014093B"/>
    <w:rsid w:val="001409FE"/>
    <w:rsid w:val="00140A5B"/>
    <w:rsid w:val="00140BFB"/>
    <w:rsid w:val="0014140F"/>
    <w:rsid w:val="0014152E"/>
    <w:rsid w:val="001415C1"/>
    <w:rsid w:val="00141634"/>
    <w:rsid w:val="00141924"/>
    <w:rsid w:val="00141A28"/>
    <w:rsid w:val="00141B77"/>
    <w:rsid w:val="00141C54"/>
    <w:rsid w:val="00141E5C"/>
    <w:rsid w:val="001428C9"/>
    <w:rsid w:val="00143014"/>
    <w:rsid w:val="001432F1"/>
    <w:rsid w:val="00143343"/>
    <w:rsid w:val="00143DD7"/>
    <w:rsid w:val="00143DE0"/>
    <w:rsid w:val="00143EAA"/>
    <w:rsid w:val="00143EB5"/>
    <w:rsid w:val="00143EC6"/>
    <w:rsid w:val="00145844"/>
    <w:rsid w:val="00146A2B"/>
    <w:rsid w:val="001473F3"/>
    <w:rsid w:val="00147BA6"/>
    <w:rsid w:val="00150F9C"/>
    <w:rsid w:val="00151080"/>
    <w:rsid w:val="00151827"/>
    <w:rsid w:val="00151D0F"/>
    <w:rsid w:val="00151E64"/>
    <w:rsid w:val="00151ED6"/>
    <w:rsid w:val="0015244F"/>
    <w:rsid w:val="0015269C"/>
    <w:rsid w:val="00154ED7"/>
    <w:rsid w:val="001559FE"/>
    <w:rsid w:val="00156082"/>
    <w:rsid w:val="001562B0"/>
    <w:rsid w:val="001564C2"/>
    <w:rsid w:val="00156746"/>
    <w:rsid w:val="001575E7"/>
    <w:rsid w:val="00157A1C"/>
    <w:rsid w:val="00157A66"/>
    <w:rsid w:val="00157E0C"/>
    <w:rsid w:val="0016000E"/>
    <w:rsid w:val="00160DE7"/>
    <w:rsid w:val="00160F0D"/>
    <w:rsid w:val="001618A8"/>
    <w:rsid w:val="00161B05"/>
    <w:rsid w:val="00161D94"/>
    <w:rsid w:val="00161E19"/>
    <w:rsid w:val="0016228B"/>
    <w:rsid w:val="0016262C"/>
    <w:rsid w:val="00162702"/>
    <w:rsid w:val="00162C2B"/>
    <w:rsid w:val="00162C9B"/>
    <w:rsid w:val="0016384E"/>
    <w:rsid w:val="00163A0C"/>
    <w:rsid w:val="00164423"/>
    <w:rsid w:val="00165594"/>
    <w:rsid w:val="001659C1"/>
    <w:rsid w:val="00165A0A"/>
    <w:rsid w:val="00165D8C"/>
    <w:rsid w:val="001664D6"/>
    <w:rsid w:val="001667D3"/>
    <w:rsid w:val="001669EB"/>
    <w:rsid w:val="00166D34"/>
    <w:rsid w:val="001674A0"/>
    <w:rsid w:val="00167999"/>
    <w:rsid w:val="00167C7C"/>
    <w:rsid w:val="00167F24"/>
    <w:rsid w:val="0017012A"/>
    <w:rsid w:val="0017025F"/>
    <w:rsid w:val="00170498"/>
    <w:rsid w:val="00170AF5"/>
    <w:rsid w:val="00170D97"/>
    <w:rsid w:val="00171896"/>
    <w:rsid w:val="00171CDB"/>
    <w:rsid w:val="001720C6"/>
    <w:rsid w:val="001725B6"/>
    <w:rsid w:val="00172B16"/>
    <w:rsid w:val="00172C97"/>
    <w:rsid w:val="00173A2F"/>
    <w:rsid w:val="00173DED"/>
    <w:rsid w:val="00174193"/>
    <w:rsid w:val="00174274"/>
    <w:rsid w:val="00174608"/>
    <w:rsid w:val="0017465F"/>
    <w:rsid w:val="00174D34"/>
    <w:rsid w:val="00175484"/>
    <w:rsid w:val="001759BA"/>
    <w:rsid w:val="001760EF"/>
    <w:rsid w:val="00176B2A"/>
    <w:rsid w:val="00176D98"/>
    <w:rsid w:val="00176E2F"/>
    <w:rsid w:val="0017724E"/>
    <w:rsid w:val="001777CA"/>
    <w:rsid w:val="00180931"/>
    <w:rsid w:val="00180C23"/>
    <w:rsid w:val="00180D9D"/>
    <w:rsid w:val="00180FE7"/>
    <w:rsid w:val="00182405"/>
    <w:rsid w:val="00182748"/>
    <w:rsid w:val="0018297B"/>
    <w:rsid w:val="00182B3C"/>
    <w:rsid w:val="00182D4C"/>
    <w:rsid w:val="001835BD"/>
    <w:rsid w:val="00183889"/>
    <w:rsid w:val="001839C8"/>
    <w:rsid w:val="00183D08"/>
    <w:rsid w:val="00184719"/>
    <w:rsid w:val="001848F7"/>
    <w:rsid w:val="00184AA8"/>
    <w:rsid w:val="0018540E"/>
    <w:rsid w:val="001859B8"/>
    <w:rsid w:val="00185B11"/>
    <w:rsid w:val="001863DB"/>
    <w:rsid w:val="00186847"/>
    <w:rsid w:val="001876DF"/>
    <w:rsid w:val="001879F1"/>
    <w:rsid w:val="00187DB4"/>
    <w:rsid w:val="00190414"/>
    <w:rsid w:val="00190720"/>
    <w:rsid w:val="00190725"/>
    <w:rsid w:val="00190DCA"/>
    <w:rsid w:val="00191219"/>
    <w:rsid w:val="0019199D"/>
    <w:rsid w:val="00191C28"/>
    <w:rsid w:val="0019230F"/>
    <w:rsid w:val="001925C2"/>
    <w:rsid w:val="00192D4F"/>
    <w:rsid w:val="00192F3B"/>
    <w:rsid w:val="0019326B"/>
    <w:rsid w:val="00193E95"/>
    <w:rsid w:val="0019522F"/>
    <w:rsid w:val="0019599A"/>
    <w:rsid w:val="00195E2F"/>
    <w:rsid w:val="001962C7"/>
    <w:rsid w:val="001967DF"/>
    <w:rsid w:val="00196902"/>
    <w:rsid w:val="00196B65"/>
    <w:rsid w:val="00196C8A"/>
    <w:rsid w:val="0019719B"/>
    <w:rsid w:val="001974E9"/>
    <w:rsid w:val="00197909"/>
    <w:rsid w:val="001A05D1"/>
    <w:rsid w:val="001A0D3E"/>
    <w:rsid w:val="001A2449"/>
    <w:rsid w:val="001A3500"/>
    <w:rsid w:val="001A363D"/>
    <w:rsid w:val="001A3CF0"/>
    <w:rsid w:val="001A3D08"/>
    <w:rsid w:val="001A3E9E"/>
    <w:rsid w:val="001A43E9"/>
    <w:rsid w:val="001A44D9"/>
    <w:rsid w:val="001A4BAD"/>
    <w:rsid w:val="001A552C"/>
    <w:rsid w:val="001A59A0"/>
    <w:rsid w:val="001A5EC4"/>
    <w:rsid w:val="001A6523"/>
    <w:rsid w:val="001A662D"/>
    <w:rsid w:val="001A6B2C"/>
    <w:rsid w:val="001A6D8B"/>
    <w:rsid w:val="001A70AA"/>
    <w:rsid w:val="001A7364"/>
    <w:rsid w:val="001A73BB"/>
    <w:rsid w:val="001B0BBC"/>
    <w:rsid w:val="001B16AB"/>
    <w:rsid w:val="001B1759"/>
    <w:rsid w:val="001B194E"/>
    <w:rsid w:val="001B1C09"/>
    <w:rsid w:val="001B1E01"/>
    <w:rsid w:val="001B3175"/>
    <w:rsid w:val="001B32D9"/>
    <w:rsid w:val="001B3AE2"/>
    <w:rsid w:val="001B3D22"/>
    <w:rsid w:val="001B49A0"/>
    <w:rsid w:val="001B4A04"/>
    <w:rsid w:val="001B51A3"/>
    <w:rsid w:val="001B64DD"/>
    <w:rsid w:val="001B6919"/>
    <w:rsid w:val="001B6E46"/>
    <w:rsid w:val="001B6F80"/>
    <w:rsid w:val="001B70CC"/>
    <w:rsid w:val="001B717D"/>
    <w:rsid w:val="001B793D"/>
    <w:rsid w:val="001B7E4D"/>
    <w:rsid w:val="001C0176"/>
    <w:rsid w:val="001C041C"/>
    <w:rsid w:val="001C0D8D"/>
    <w:rsid w:val="001C1587"/>
    <w:rsid w:val="001C15C4"/>
    <w:rsid w:val="001C1D42"/>
    <w:rsid w:val="001C2A0B"/>
    <w:rsid w:val="001C2A9C"/>
    <w:rsid w:val="001C2AFF"/>
    <w:rsid w:val="001C2C70"/>
    <w:rsid w:val="001C2C77"/>
    <w:rsid w:val="001C3294"/>
    <w:rsid w:val="001C3C82"/>
    <w:rsid w:val="001C4600"/>
    <w:rsid w:val="001C4732"/>
    <w:rsid w:val="001C4A7E"/>
    <w:rsid w:val="001C52C1"/>
    <w:rsid w:val="001C541C"/>
    <w:rsid w:val="001C545D"/>
    <w:rsid w:val="001C56F2"/>
    <w:rsid w:val="001C5DFB"/>
    <w:rsid w:val="001C62EB"/>
    <w:rsid w:val="001C6618"/>
    <w:rsid w:val="001C6872"/>
    <w:rsid w:val="001C6F07"/>
    <w:rsid w:val="001C7113"/>
    <w:rsid w:val="001C7574"/>
    <w:rsid w:val="001C78A0"/>
    <w:rsid w:val="001C7A6E"/>
    <w:rsid w:val="001C7BFE"/>
    <w:rsid w:val="001D028B"/>
    <w:rsid w:val="001D09B7"/>
    <w:rsid w:val="001D189A"/>
    <w:rsid w:val="001D1B88"/>
    <w:rsid w:val="001D1E8E"/>
    <w:rsid w:val="001D3737"/>
    <w:rsid w:val="001D3B6E"/>
    <w:rsid w:val="001D3C17"/>
    <w:rsid w:val="001D3ED6"/>
    <w:rsid w:val="001D406C"/>
    <w:rsid w:val="001D5177"/>
    <w:rsid w:val="001D5759"/>
    <w:rsid w:val="001D5FFF"/>
    <w:rsid w:val="001D799A"/>
    <w:rsid w:val="001D7A3E"/>
    <w:rsid w:val="001D7C2E"/>
    <w:rsid w:val="001E00A9"/>
    <w:rsid w:val="001E076C"/>
    <w:rsid w:val="001E12C2"/>
    <w:rsid w:val="001E195C"/>
    <w:rsid w:val="001E1C58"/>
    <w:rsid w:val="001E20BD"/>
    <w:rsid w:val="001E26A3"/>
    <w:rsid w:val="001E26CE"/>
    <w:rsid w:val="001E2837"/>
    <w:rsid w:val="001E28D2"/>
    <w:rsid w:val="001E2FB3"/>
    <w:rsid w:val="001E32AD"/>
    <w:rsid w:val="001E36FB"/>
    <w:rsid w:val="001E371F"/>
    <w:rsid w:val="001E43FE"/>
    <w:rsid w:val="001E4493"/>
    <w:rsid w:val="001E4599"/>
    <w:rsid w:val="001E45F3"/>
    <w:rsid w:val="001E4A2E"/>
    <w:rsid w:val="001E4BF5"/>
    <w:rsid w:val="001E4ED4"/>
    <w:rsid w:val="001E51AA"/>
    <w:rsid w:val="001E51C6"/>
    <w:rsid w:val="001E57E0"/>
    <w:rsid w:val="001E5CE0"/>
    <w:rsid w:val="001E5DA1"/>
    <w:rsid w:val="001E6A03"/>
    <w:rsid w:val="001E6A47"/>
    <w:rsid w:val="001E7852"/>
    <w:rsid w:val="001F00BB"/>
    <w:rsid w:val="001F02F7"/>
    <w:rsid w:val="001F0622"/>
    <w:rsid w:val="001F0765"/>
    <w:rsid w:val="001F1AEE"/>
    <w:rsid w:val="001F1AF0"/>
    <w:rsid w:val="001F1DC7"/>
    <w:rsid w:val="001F1F6D"/>
    <w:rsid w:val="001F222F"/>
    <w:rsid w:val="001F2655"/>
    <w:rsid w:val="001F2E95"/>
    <w:rsid w:val="001F320B"/>
    <w:rsid w:val="001F3EFD"/>
    <w:rsid w:val="001F41F8"/>
    <w:rsid w:val="001F5162"/>
    <w:rsid w:val="001F5285"/>
    <w:rsid w:val="001F5420"/>
    <w:rsid w:val="001F58C7"/>
    <w:rsid w:val="001F5A2B"/>
    <w:rsid w:val="001F6220"/>
    <w:rsid w:val="001F6A24"/>
    <w:rsid w:val="001F70DC"/>
    <w:rsid w:val="001F76F5"/>
    <w:rsid w:val="001F789A"/>
    <w:rsid w:val="001F7CE2"/>
    <w:rsid w:val="0020036A"/>
    <w:rsid w:val="0020079C"/>
    <w:rsid w:val="0020118C"/>
    <w:rsid w:val="002013BE"/>
    <w:rsid w:val="0020164E"/>
    <w:rsid w:val="00201EC6"/>
    <w:rsid w:val="00202CE9"/>
    <w:rsid w:val="00202E55"/>
    <w:rsid w:val="00202FC8"/>
    <w:rsid w:val="00203C04"/>
    <w:rsid w:val="00203D40"/>
    <w:rsid w:val="00203DE5"/>
    <w:rsid w:val="00203E4E"/>
    <w:rsid w:val="00203F0B"/>
    <w:rsid w:val="00204ABA"/>
    <w:rsid w:val="0020501E"/>
    <w:rsid w:val="00205049"/>
    <w:rsid w:val="002051BD"/>
    <w:rsid w:val="002057A1"/>
    <w:rsid w:val="002062CD"/>
    <w:rsid w:val="00206461"/>
    <w:rsid w:val="002067D3"/>
    <w:rsid w:val="00206BA4"/>
    <w:rsid w:val="00206D2D"/>
    <w:rsid w:val="00207099"/>
    <w:rsid w:val="00207306"/>
    <w:rsid w:val="00207AD5"/>
    <w:rsid w:val="0021041D"/>
    <w:rsid w:val="00210879"/>
    <w:rsid w:val="00210956"/>
    <w:rsid w:val="00210AEC"/>
    <w:rsid w:val="00210E25"/>
    <w:rsid w:val="00210F37"/>
    <w:rsid w:val="0021106D"/>
    <w:rsid w:val="002112AE"/>
    <w:rsid w:val="00211B0B"/>
    <w:rsid w:val="00212433"/>
    <w:rsid w:val="00212590"/>
    <w:rsid w:val="00212A77"/>
    <w:rsid w:val="00212DC8"/>
    <w:rsid w:val="00212EB2"/>
    <w:rsid w:val="0021317F"/>
    <w:rsid w:val="0021335D"/>
    <w:rsid w:val="0021340F"/>
    <w:rsid w:val="00213C52"/>
    <w:rsid w:val="00213CDE"/>
    <w:rsid w:val="0021430D"/>
    <w:rsid w:val="002152F6"/>
    <w:rsid w:val="00215C35"/>
    <w:rsid w:val="002160BC"/>
    <w:rsid w:val="002161C3"/>
    <w:rsid w:val="002173C1"/>
    <w:rsid w:val="002177AB"/>
    <w:rsid w:val="00220942"/>
    <w:rsid w:val="00221B5A"/>
    <w:rsid w:val="00221ED8"/>
    <w:rsid w:val="002230AA"/>
    <w:rsid w:val="0022389B"/>
    <w:rsid w:val="00223E19"/>
    <w:rsid w:val="0022439E"/>
    <w:rsid w:val="00224526"/>
    <w:rsid w:val="002247CB"/>
    <w:rsid w:val="00224FAB"/>
    <w:rsid w:val="0022538D"/>
    <w:rsid w:val="00225479"/>
    <w:rsid w:val="0022554C"/>
    <w:rsid w:val="00225AA5"/>
    <w:rsid w:val="00225C3D"/>
    <w:rsid w:val="0022648B"/>
    <w:rsid w:val="0022658F"/>
    <w:rsid w:val="002266D5"/>
    <w:rsid w:val="0022727E"/>
    <w:rsid w:val="00230043"/>
    <w:rsid w:val="002302D1"/>
    <w:rsid w:val="002304CD"/>
    <w:rsid w:val="00230ACD"/>
    <w:rsid w:val="00230D7C"/>
    <w:rsid w:val="00231971"/>
    <w:rsid w:val="00231E0A"/>
    <w:rsid w:val="00231F3A"/>
    <w:rsid w:val="0023274F"/>
    <w:rsid w:val="00232A6C"/>
    <w:rsid w:val="0023451E"/>
    <w:rsid w:val="002346AE"/>
    <w:rsid w:val="00234D21"/>
    <w:rsid w:val="00234F40"/>
    <w:rsid w:val="00235691"/>
    <w:rsid w:val="00235F8E"/>
    <w:rsid w:val="00236378"/>
    <w:rsid w:val="002368B8"/>
    <w:rsid w:val="00236F84"/>
    <w:rsid w:val="0023718B"/>
    <w:rsid w:val="002371EF"/>
    <w:rsid w:val="00237A26"/>
    <w:rsid w:val="00241307"/>
    <w:rsid w:val="00241760"/>
    <w:rsid w:val="00241A4E"/>
    <w:rsid w:val="00241E6A"/>
    <w:rsid w:val="00242256"/>
    <w:rsid w:val="00242769"/>
    <w:rsid w:val="00242E43"/>
    <w:rsid w:val="0024475A"/>
    <w:rsid w:val="00244965"/>
    <w:rsid w:val="00244CAA"/>
    <w:rsid w:val="0024540B"/>
    <w:rsid w:val="00245992"/>
    <w:rsid w:val="002459F5"/>
    <w:rsid w:val="002462FD"/>
    <w:rsid w:val="0024714B"/>
    <w:rsid w:val="002472D5"/>
    <w:rsid w:val="00247B4E"/>
    <w:rsid w:val="00247CBB"/>
    <w:rsid w:val="00247FE8"/>
    <w:rsid w:val="0025061F"/>
    <w:rsid w:val="00250D20"/>
    <w:rsid w:val="0025108A"/>
    <w:rsid w:val="0025145B"/>
    <w:rsid w:val="002515B1"/>
    <w:rsid w:val="00251715"/>
    <w:rsid w:val="00252261"/>
    <w:rsid w:val="0025264A"/>
    <w:rsid w:val="0025291C"/>
    <w:rsid w:val="00252CCD"/>
    <w:rsid w:val="00252D17"/>
    <w:rsid w:val="00252D5A"/>
    <w:rsid w:val="00253923"/>
    <w:rsid w:val="00253B64"/>
    <w:rsid w:val="00253FA9"/>
    <w:rsid w:val="00254755"/>
    <w:rsid w:val="002548CC"/>
    <w:rsid w:val="00254CD1"/>
    <w:rsid w:val="00254F5F"/>
    <w:rsid w:val="0025533D"/>
    <w:rsid w:val="00255B6C"/>
    <w:rsid w:val="00255DEA"/>
    <w:rsid w:val="002567B6"/>
    <w:rsid w:val="00256836"/>
    <w:rsid w:val="00257006"/>
    <w:rsid w:val="0025716A"/>
    <w:rsid w:val="00257C53"/>
    <w:rsid w:val="00257F07"/>
    <w:rsid w:val="0026026A"/>
    <w:rsid w:val="0026054D"/>
    <w:rsid w:val="00260C01"/>
    <w:rsid w:val="00261309"/>
    <w:rsid w:val="00261B46"/>
    <w:rsid w:val="00261FF1"/>
    <w:rsid w:val="00262DD8"/>
    <w:rsid w:val="00262F6E"/>
    <w:rsid w:val="002643FB"/>
    <w:rsid w:val="002648CC"/>
    <w:rsid w:val="0026491D"/>
    <w:rsid w:val="00264E7A"/>
    <w:rsid w:val="00265562"/>
    <w:rsid w:val="00266594"/>
    <w:rsid w:val="0026684D"/>
    <w:rsid w:val="00266ABD"/>
    <w:rsid w:val="00266B43"/>
    <w:rsid w:val="00266E8B"/>
    <w:rsid w:val="00267328"/>
    <w:rsid w:val="002675C1"/>
    <w:rsid w:val="00267CF3"/>
    <w:rsid w:val="00267CFE"/>
    <w:rsid w:val="00270A0E"/>
    <w:rsid w:val="00270A93"/>
    <w:rsid w:val="00270B01"/>
    <w:rsid w:val="0027194F"/>
    <w:rsid w:val="00272846"/>
    <w:rsid w:val="00272C22"/>
    <w:rsid w:val="00272E71"/>
    <w:rsid w:val="00273029"/>
    <w:rsid w:val="00273039"/>
    <w:rsid w:val="00273BB8"/>
    <w:rsid w:val="00273E47"/>
    <w:rsid w:val="00273FF4"/>
    <w:rsid w:val="0027404C"/>
    <w:rsid w:val="0027476C"/>
    <w:rsid w:val="00274AE9"/>
    <w:rsid w:val="00274AFC"/>
    <w:rsid w:val="00276218"/>
    <w:rsid w:val="002765F0"/>
    <w:rsid w:val="0027676F"/>
    <w:rsid w:val="00277261"/>
    <w:rsid w:val="00277643"/>
    <w:rsid w:val="00277B7E"/>
    <w:rsid w:val="0028039F"/>
    <w:rsid w:val="002816BF"/>
    <w:rsid w:val="00281BB0"/>
    <w:rsid w:val="0028235E"/>
    <w:rsid w:val="002829EF"/>
    <w:rsid w:val="002830E1"/>
    <w:rsid w:val="0028333C"/>
    <w:rsid w:val="00283811"/>
    <w:rsid w:val="00283836"/>
    <w:rsid w:val="00283CCA"/>
    <w:rsid w:val="0028476C"/>
    <w:rsid w:val="002853E2"/>
    <w:rsid w:val="002860FB"/>
    <w:rsid w:val="00286518"/>
    <w:rsid w:val="002866F0"/>
    <w:rsid w:val="00286F6F"/>
    <w:rsid w:val="00290562"/>
    <w:rsid w:val="002905A7"/>
    <w:rsid w:val="0029060D"/>
    <w:rsid w:val="002906C1"/>
    <w:rsid w:val="0029077D"/>
    <w:rsid w:val="002908EA"/>
    <w:rsid w:val="00290943"/>
    <w:rsid w:val="00290B2D"/>
    <w:rsid w:val="002910A9"/>
    <w:rsid w:val="0029122E"/>
    <w:rsid w:val="0029172D"/>
    <w:rsid w:val="0029185E"/>
    <w:rsid w:val="00291A08"/>
    <w:rsid w:val="0029321C"/>
    <w:rsid w:val="002934B1"/>
    <w:rsid w:val="002935BC"/>
    <w:rsid w:val="0029369A"/>
    <w:rsid w:val="0029370B"/>
    <w:rsid w:val="00293E9B"/>
    <w:rsid w:val="00294A3F"/>
    <w:rsid w:val="00294EEB"/>
    <w:rsid w:val="00295DD0"/>
    <w:rsid w:val="002962F8"/>
    <w:rsid w:val="00296312"/>
    <w:rsid w:val="002964E7"/>
    <w:rsid w:val="002978D8"/>
    <w:rsid w:val="00297D63"/>
    <w:rsid w:val="002A03A7"/>
    <w:rsid w:val="002A0532"/>
    <w:rsid w:val="002A0823"/>
    <w:rsid w:val="002A0FFD"/>
    <w:rsid w:val="002A28DF"/>
    <w:rsid w:val="002A3452"/>
    <w:rsid w:val="002A3D69"/>
    <w:rsid w:val="002A402C"/>
    <w:rsid w:val="002A4081"/>
    <w:rsid w:val="002A452F"/>
    <w:rsid w:val="002A63E8"/>
    <w:rsid w:val="002A68BF"/>
    <w:rsid w:val="002A6F07"/>
    <w:rsid w:val="002A7025"/>
    <w:rsid w:val="002A7C8C"/>
    <w:rsid w:val="002B0052"/>
    <w:rsid w:val="002B0683"/>
    <w:rsid w:val="002B07D2"/>
    <w:rsid w:val="002B1344"/>
    <w:rsid w:val="002B24D8"/>
    <w:rsid w:val="002B2968"/>
    <w:rsid w:val="002B2A81"/>
    <w:rsid w:val="002B2CBC"/>
    <w:rsid w:val="002B33CA"/>
    <w:rsid w:val="002B45EB"/>
    <w:rsid w:val="002B536E"/>
    <w:rsid w:val="002B557E"/>
    <w:rsid w:val="002B59F7"/>
    <w:rsid w:val="002B6610"/>
    <w:rsid w:val="002B666A"/>
    <w:rsid w:val="002B6818"/>
    <w:rsid w:val="002B707D"/>
    <w:rsid w:val="002B7363"/>
    <w:rsid w:val="002B7C34"/>
    <w:rsid w:val="002C074C"/>
    <w:rsid w:val="002C117F"/>
    <w:rsid w:val="002C1779"/>
    <w:rsid w:val="002C1C2D"/>
    <w:rsid w:val="002C225E"/>
    <w:rsid w:val="002C226E"/>
    <w:rsid w:val="002C2641"/>
    <w:rsid w:val="002C26D3"/>
    <w:rsid w:val="002C2D02"/>
    <w:rsid w:val="002C2DBE"/>
    <w:rsid w:val="002C2E41"/>
    <w:rsid w:val="002C34CB"/>
    <w:rsid w:val="002C37E8"/>
    <w:rsid w:val="002C388D"/>
    <w:rsid w:val="002C3A62"/>
    <w:rsid w:val="002C46FC"/>
    <w:rsid w:val="002C4A14"/>
    <w:rsid w:val="002C4ACF"/>
    <w:rsid w:val="002C5103"/>
    <w:rsid w:val="002C57C6"/>
    <w:rsid w:val="002C5B50"/>
    <w:rsid w:val="002C6220"/>
    <w:rsid w:val="002C67EB"/>
    <w:rsid w:val="002C6D1D"/>
    <w:rsid w:val="002D2681"/>
    <w:rsid w:val="002D270B"/>
    <w:rsid w:val="002D2D91"/>
    <w:rsid w:val="002D2F79"/>
    <w:rsid w:val="002D305F"/>
    <w:rsid w:val="002D3566"/>
    <w:rsid w:val="002D360F"/>
    <w:rsid w:val="002D495F"/>
    <w:rsid w:val="002D49D3"/>
    <w:rsid w:val="002D5770"/>
    <w:rsid w:val="002D5818"/>
    <w:rsid w:val="002D5B5B"/>
    <w:rsid w:val="002D6412"/>
    <w:rsid w:val="002D6971"/>
    <w:rsid w:val="002E057A"/>
    <w:rsid w:val="002E103F"/>
    <w:rsid w:val="002E1044"/>
    <w:rsid w:val="002E1921"/>
    <w:rsid w:val="002E25C1"/>
    <w:rsid w:val="002E293E"/>
    <w:rsid w:val="002E2BE5"/>
    <w:rsid w:val="002E341A"/>
    <w:rsid w:val="002E34BF"/>
    <w:rsid w:val="002E354E"/>
    <w:rsid w:val="002E393A"/>
    <w:rsid w:val="002E3ADE"/>
    <w:rsid w:val="002E3B6F"/>
    <w:rsid w:val="002E439D"/>
    <w:rsid w:val="002E4A9F"/>
    <w:rsid w:val="002E4D97"/>
    <w:rsid w:val="002E525A"/>
    <w:rsid w:val="002E58AF"/>
    <w:rsid w:val="002E592C"/>
    <w:rsid w:val="002E59E4"/>
    <w:rsid w:val="002E62E3"/>
    <w:rsid w:val="002E6401"/>
    <w:rsid w:val="002E6B82"/>
    <w:rsid w:val="002E6DBA"/>
    <w:rsid w:val="002E717B"/>
    <w:rsid w:val="002E7667"/>
    <w:rsid w:val="002F077D"/>
    <w:rsid w:val="002F0A2E"/>
    <w:rsid w:val="002F0BD7"/>
    <w:rsid w:val="002F1321"/>
    <w:rsid w:val="002F15E5"/>
    <w:rsid w:val="002F1840"/>
    <w:rsid w:val="002F20B6"/>
    <w:rsid w:val="002F32EC"/>
    <w:rsid w:val="002F34F3"/>
    <w:rsid w:val="002F361B"/>
    <w:rsid w:val="002F4E0F"/>
    <w:rsid w:val="002F5049"/>
    <w:rsid w:val="002F51D8"/>
    <w:rsid w:val="002F562F"/>
    <w:rsid w:val="002F5681"/>
    <w:rsid w:val="002F5820"/>
    <w:rsid w:val="002F5CE6"/>
    <w:rsid w:val="002F5DFC"/>
    <w:rsid w:val="002F6019"/>
    <w:rsid w:val="002F62B8"/>
    <w:rsid w:val="002F66C1"/>
    <w:rsid w:val="002F7676"/>
    <w:rsid w:val="002F786D"/>
    <w:rsid w:val="002F7A21"/>
    <w:rsid w:val="002F7BC6"/>
    <w:rsid w:val="003000DB"/>
    <w:rsid w:val="00300186"/>
    <w:rsid w:val="00300803"/>
    <w:rsid w:val="00301B24"/>
    <w:rsid w:val="00301D6A"/>
    <w:rsid w:val="00301EB6"/>
    <w:rsid w:val="003023D1"/>
    <w:rsid w:val="00302DE3"/>
    <w:rsid w:val="00302F49"/>
    <w:rsid w:val="003031A9"/>
    <w:rsid w:val="0030327A"/>
    <w:rsid w:val="003038CC"/>
    <w:rsid w:val="00303CC5"/>
    <w:rsid w:val="00303D6A"/>
    <w:rsid w:val="003049A2"/>
    <w:rsid w:val="00304A2F"/>
    <w:rsid w:val="00304D0A"/>
    <w:rsid w:val="003060C6"/>
    <w:rsid w:val="003063A6"/>
    <w:rsid w:val="003065C5"/>
    <w:rsid w:val="003068D8"/>
    <w:rsid w:val="00307144"/>
    <w:rsid w:val="00307F70"/>
    <w:rsid w:val="00307FA5"/>
    <w:rsid w:val="00310899"/>
    <w:rsid w:val="00310AAB"/>
    <w:rsid w:val="00310E5F"/>
    <w:rsid w:val="0031153E"/>
    <w:rsid w:val="00311D97"/>
    <w:rsid w:val="003122B9"/>
    <w:rsid w:val="00313AB2"/>
    <w:rsid w:val="003140D1"/>
    <w:rsid w:val="00314117"/>
    <w:rsid w:val="00314414"/>
    <w:rsid w:val="00314947"/>
    <w:rsid w:val="00314E9D"/>
    <w:rsid w:val="00315740"/>
    <w:rsid w:val="00315AFA"/>
    <w:rsid w:val="00315DB1"/>
    <w:rsid w:val="00315ECB"/>
    <w:rsid w:val="0031627E"/>
    <w:rsid w:val="0031676A"/>
    <w:rsid w:val="003168F7"/>
    <w:rsid w:val="00316A5B"/>
    <w:rsid w:val="00316BED"/>
    <w:rsid w:val="00316F82"/>
    <w:rsid w:val="0031776A"/>
    <w:rsid w:val="0031780B"/>
    <w:rsid w:val="003204E2"/>
    <w:rsid w:val="00322CAA"/>
    <w:rsid w:val="00323971"/>
    <w:rsid w:val="00324644"/>
    <w:rsid w:val="003250D8"/>
    <w:rsid w:val="003253D2"/>
    <w:rsid w:val="003254CF"/>
    <w:rsid w:val="003257A0"/>
    <w:rsid w:val="00325C07"/>
    <w:rsid w:val="0032639A"/>
    <w:rsid w:val="00326877"/>
    <w:rsid w:val="00326CCA"/>
    <w:rsid w:val="00326E8F"/>
    <w:rsid w:val="00327F3D"/>
    <w:rsid w:val="00327F4B"/>
    <w:rsid w:val="00330AE5"/>
    <w:rsid w:val="00330F86"/>
    <w:rsid w:val="003310A0"/>
    <w:rsid w:val="003315CD"/>
    <w:rsid w:val="0033212F"/>
    <w:rsid w:val="00332A8F"/>
    <w:rsid w:val="00332F6E"/>
    <w:rsid w:val="003330F0"/>
    <w:rsid w:val="003330F9"/>
    <w:rsid w:val="003331AB"/>
    <w:rsid w:val="00333594"/>
    <w:rsid w:val="00333E1D"/>
    <w:rsid w:val="00333FD4"/>
    <w:rsid w:val="00334229"/>
    <w:rsid w:val="00335A61"/>
    <w:rsid w:val="00335CAF"/>
    <w:rsid w:val="0033621B"/>
    <w:rsid w:val="003362EF"/>
    <w:rsid w:val="0033655E"/>
    <w:rsid w:val="00337D0B"/>
    <w:rsid w:val="00337FDD"/>
    <w:rsid w:val="00340155"/>
    <w:rsid w:val="003402D2"/>
    <w:rsid w:val="0034041D"/>
    <w:rsid w:val="00340F23"/>
    <w:rsid w:val="003410BD"/>
    <w:rsid w:val="00341460"/>
    <w:rsid w:val="00341A5E"/>
    <w:rsid w:val="00341D1E"/>
    <w:rsid w:val="003420E9"/>
    <w:rsid w:val="003423E6"/>
    <w:rsid w:val="003425F3"/>
    <w:rsid w:val="0034291F"/>
    <w:rsid w:val="00342C91"/>
    <w:rsid w:val="003432B3"/>
    <w:rsid w:val="003433CC"/>
    <w:rsid w:val="00343715"/>
    <w:rsid w:val="003439C2"/>
    <w:rsid w:val="003444A6"/>
    <w:rsid w:val="00344621"/>
    <w:rsid w:val="00344680"/>
    <w:rsid w:val="0034468A"/>
    <w:rsid w:val="00344B4B"/>
    <w:rsid w:val="00344C49"/>
    <w:rsid w:val="003452CD"/>
    <w:rsid w:val="003454EC"/>
    <w:rsid w:val="0034563D"/>
    <w:rsid w:val="003459F2"/>
    <w:rsid w:val="0034615B"/>
    <w:rsid w:val="0034640C"/>
    <w:rsid w:val="003476C1"/>
    <w:rsid w:val="003506AD"/>
    <w:rsid w:val="00350775"/>
    <w:rsid w:val="00350827"/>
    <w:rsid w:val="00350D38"/>
    <w:rsid w:val="003510C6"/>
    <w:rsid w:val="003513B3"/>
    <w:rsid w:val="003514B7"/>
    <w:rsid w:val="003514F9"/>
    <w:rsid w:val="0035189A"/>
    <w:rsid w:val="003519F7"/>
    <w:rsid w:val="003522F0"/>
    <w:rsid w:val="00352923"/>
    <w:rsid w:val="00352C9D"/>
    <w:rsid w:val="00352CF1"/>
    <w:rsid w:val="00352E09"/>
    <w:rsid w:val="003542B6"/>
    <w:rsid w:val="0035462E"/>
    <w:rsid w:val="0035465E"/>
    <w:rsid w:val="003547CD"/>
    <w:rsid w:val="00354B39"/>
    <w:rsid w:val="00354EF9"/>
    <w:rsid w:val="00355416"/>
    <w:rsid w:val="003556FC"/>
    <w:rsid w:val="00355B22"/>
    <w:rsid w:val="00356233"/>
    <w:rsid w:val="0035662A"/>
    <w:rsid w:val="00356787"/>
    <w:rsid w:val="00356B5F"/>
    <w:rsid w:val="00356BDE"/>
    <w:rsid w:val="0036018C"/>
    <w:rsid w:val="003601F3"/>
    <w:rsid w:val="00360825"/>
    <w:rsid w:val="0036122E"/>
    <w:rsid w:val="00361F05"/>
    <w:rsid w:val="00362812"/>
    <w:rsid w:val="0036282A"/>
    <w:rsid w:val="00362F6B"/>
    <w:rsid w:val="003630B9"/>
    <w:rsid w:val="00364932"/>
    <w:rsid w:val="003655AA"/>
    <w:rsid w:val="0036563F"/>
    <w:rsid w:val="00365E7B"/>
    <w:rsid w:val="00365FE8"/>
    <w:rsid w:val="00366744"/>
    <w:rsid w:val="00366D9E"/>
    <w:rsid w:val="00367980"/>
    <w:rsid w:val="00370892"/>
    <w:rsid w:val="00370EEF"/>
    <w:rsid w:val="00370F86"/>
    <w:rsid w:val="0037157E"/>
    <w:rsid w:val="0037169F"/>
    <w:rsid w:val="00371896"/>
    <w:rsid w:val="003723A3"/>
    <w:rsid w:val="003726F9"/>
    <w:rsid w:val="00372824"/>
    <w:rsid w:val="003736DA"/>
    <w:rsid w:val="00373C98"/>
    <w:rsid w:val="00373E51"/>
    <w:rsid w:val="003741A7"/>
    <w:rsid w:val="003746C8"/>
    <w:rsid w:val="0037551C"/>
    <w:rsid w:val="003758E4"/>
    <w:rsid w:val="00375B63"/>
    <w:rsid w:val="00375D8C"/>
    <w:rsid w:val="003763D0"/>
    <w:rsid w:val="00376445"/>
    <w:rsid w:val="003766ED"/>
    <w:rsid w:val="00377303"/>
    <w:rsid w:val="00377C0F"/>
    <w:rsid w:val="00377FE9"/>
    <w:rsid w:val="0038023D"/>
    <w:rsid w:val="00380308"/>
    <w:rsid w:val="0038093B"/>
    <w:rsid w:val="00380CA1"/>
    <w:rsid w:val="00381399"/>
    <w:rsid w:val="003814DA"/>
    <w:rsid w:val="0038247F"/>
    <w:rsid w:val="00382A60"/>
    <w:rsid w:val="00382F2A"/>
    <w:rsid w:val="00382F53"/>
    <w:rsid w:val="00382FE1"/>
    <w:rsid w:val="00383890"/>
    <w:rsid w:val="0038406B"/>
    <w:rsid w:val="00384376"/>
    <w:rsid w:val="003845CA"/>
    <w:rsid w:val="00384A9A"/>
    <w:rsid w:val="00385008"/>
    <w:rsid w:val="0038511D"/>
    <w:rsid w:val="00385DFB"/>
    <w:rsid w:val="00385F3A"/>
    <w:rsid w:val="003863F7"/>
    <w:rsid w:val="00386523"/>
    <w:rsid w:val="003866A8"/>
    <w:rsid w:val="00387300"/>
    <w:rsid w:val="00387FE7"/>
    <w:rsid w:val="003905A9"/>
    <w:rsid w:val="003914A5"/>
    <w:rsid w:val="0039191E"/>
    <w:rsid w:val="00391E77"/>
    <w:rsid w:val="00391F02"/>
    <w:rsid w:val="00392CFF"/>
    <w:rsid w:val="00393AB9"/>
    <w:rsid w:val="0039444A"/>
    <w:rsid w:val="00394594"/>
    <w:rsid w:val="00394600"/>
    <w:rsid w:val="003947D6"/>
    <w:rsid w:val="00394AD8"/>
    <w:rsid w:val="00394D4F"/>
    <w:rsid w:val="00394F8D"/>
    <w:rsid w:val="00395276"/>
    <w:rsid w:val="003956F2"/>
    <w:rsid w:val="00395CDF"/>
    <w:rsid w:val="00396080"/>
    <w:rsid w:val="00396316"/>
    <w:rsid w:val="003969B3"/>
    <w:rsid w:val="003972DA"/>
    <w:rsid w:val="00397E29"/>
    <w:rsid w:val="003A00C9"/>
    <w:rsid w:val="003A01F9"/>
    <w:rsid w:val="003A14B7"/>
    <w:rsid w:val="003A1526"/>
    <w:rsid w:val="003A1C6B"/>
    <w:rsid w:val="003A1D21"/>
    <w:rsid w:val="003A2809"/>
    <w:rsid w:val="003A281F"/>
    <w:rsid w:val="003A2B68"/>
    <w:rsid w:val="003A2E3D"/>
    <w:rsid w:val="003A2F8F"/>
    <w:rsid w:val="003A3357"/>
    <w:rsid w:val="003A3928"/>
    <w:rsid w:val="003A3CBB"/>
    <w:rsid w:val="003A4DDF"/>
    <w:rsid w:val="003A5BB5"/>
    <w:rsid w:val="003A5C23"/>
    <w:rsid w:val="003A5FF4"/>
    <w:rsid w:val="003A63D6"/>
    <w:rsid w:val="003A66E1"/>
    <w:rsid w:val="003A6EDF"/>
    <w:rsid w:val="003A78BE"/>
    <w:rsid w:val="003B006F"/>
    <w:rsid w:val="003B07AD"/>
    <w:rsid w:val="003B14BA"/>
    <w:rsid w:val="003B1C8E"/>
    <w:rsid w:val="003B29AF"/>
    <w:rsid w:val="003B2B5E"/>
    <w:rsid w:val="003B354F"/>
    <w:rsid w:val="003B40DA"/>
    <w:rsid w:val="003B4C29"/>
    <w:rsid w:val="003B515F"/>
    <w:rsid w:val="003B5252"/>
    <w:rsid w:val="003B5915"/>
    <w:rsid w:val="003B6D54"/>
    <w:rsid w:val="003B6F43"/>
    <w:rsid w:val="003B73F6"/>
    <w:rsid w:val="003B7E0F"/>
    <w:rsid w:val="003B7FF1"/>
    <w:rsid w:val="003C091E"/>
    <w:rsid w:val="003C14EB"/>
    <w:rsid w:val="003C1622"/>
    <w:rsid w:val="003C1AD8"/>
    <w:rsid w:val="003C1F9A"/>
    <w:rsid w:val="003C2195"/>
    <w:rsid w:val="003C2958"/>
    <w:rsid w:val="003C2C41"/>
    <w:rsid w:val="003C3C51"/>
    <w:rsid w:val="003C3E08"/>
    <w:rsid w:val="003C42CC"/>
    <w:rsid w:val="003C4787"/>
    <w:rsid w:val="003C4A73"/>
    <w:rsid w:val="003C4FD6"/>
    <w:rsid w:val="003C52F6"/>
    <w:rsid w:val="003C572C"/>
    <w:rsid w:val="003C5C2E"/>
    <w:rsid w:val="003C5D7B"/>
    <w:rsid w:val="003C5E0E"/>
    <w:rsid w:val="003C6651"/>
    <w:rsid w:val="003C6F58"/>
    <w:rsid w:val="003C7275"/>
    <w:rsid w:val="003C739F"/>
    <w:rsid w:val="003C73F5"/>
    <w:rsid w:val="003C7A71"/>
    <w:rsid w:val="003C7E66"/>
    <w:rsid w:val="003D0710"/>
    <w:rsid w:val="003D0945"/>
    <w:rsid w:val="003D0AC1"/>
    <w:rsid w:val="003D1050"/>
    <w:rsid w:val="003D12CA"/>
    <w:rsid w:val="003D151C"/>
    <w:rsid w:val="003D15DF"/>
    <w:rsid w:val="003D17A7"/>
    <w:rsid w:val="003D1ECC"/>
    <w:rsid w:val="003D2336"/>
    <w:rsid w:val="003D25D1"/>
    <w:rsid w:val="003D2795"/>
    <w:rsid w:val="003D2827"/>
    <w:rsid w:val="003D30F4"/>
    <w:rsid w:val="003D325A"/>
    <w:rsid w:val="003D377E"/>
    <w:rsid w:val="003D39B2"/>
    <w:rsid w:val="003D3B82"/>
    <w:rsid w:val="003D48E4"/>
    <w:rsid w:val="003D4A20"/>
    <w:rsid w:val="003D50D0"/>
    <w:rsid w:val="003D51B8"/>
    <w:rsid w:val="003D5494"/>
    <w:rsid w:val="003D560F"/>
    <w:rsid w:val="003D5692"/>
    <w:rsid w:val="003D5980"/>
    <w:rsid w:val="003D5DCE"/>
    <w:rsid w:val="003D5ED4"/>
    <w:rsid w:val="003D6B89"/>
    <w:rsid w:val="003D7006"/>
    <w:rsid w:val="003D7671"/>
    <w:rsid w:val="003D7C72"/>
    <w:rsid w:val="003E047A"/>
    <w:rsid w:val="003E0613"/>
    <w:rsid w:val="003E0AE8"/>
    <w:rsid w:val="003E0C23"/>
    <w:rsid w:val="003E1222"/>
    <w:rsid w:val="003E1464"/>
    <w:rsid w:val="003E1A8B"/>
    <w:rsid w:val="003E2122"/>
    <w:rsid w:val="003E21E5"/>
    <w:rsid w:val="003E2A4E"/>
    <w:rsid w:val="003E2A9A"/>
    <w:rsid w:val="003E31F8"/>
    <w:rsid w:val="003E359D"/>
    <w:rsid w:val="003E390A"/>
    <w:rsid w:val="003E3FF1"/>
    <w:rsid w:val="003E4A72"/>
    <w:rsid w:val="003E624D"/>
    <w:rsid w:val="003E64F6"/>
    <w:rsid w:val="003E67F0"/>
    <w:rsid w:val="003E6BBA"/>
    <w:rsid w:val="003E6E00"/>
    <w:rsid w:val="003E7EB8"/>
    <w:rsid w:val="003F0D25"/>
    <w:rsid w:val="003F10B5"/>
    <w:rsid w:val="003F124B"/>
    <w:rsid w:val="003F153E"/>
    <w:rsid w:val="003F27BF"/>
    <w:rsid w:val="003F2999"/>
    <w:rsid w:val="003F2A93"/>
    <w:rsid w:val="003F2B4D"/>
    <w:rsid w:val="003F2BF9"/>
    <w:rsid w:val="003F3A7C"/>
    <w:rsid w:val="003F41F7"/>
    <w:rsid w:val="003F4B23"/>
    <w:rsid w:val="003F4FBA"/>
    <w:rsid w:val="003F5443"/>
    <w:rsid w:val="003F594E"/>
    <w:rsid w:val="003F5C88"/>
    <w:rsid w:val="003F6179"/>
    <w:rsid w:val="003F68B3"/>
    <w:rsid w:val="003F6977"/>
    <w:rsid w:val="003F74E9"/>
    <w:rsid w:val="003F782C"/>
    <w:rsid w:val="003F7A3D"/>
    <w:rsid w:val="003F7DFE"/>
    <w:rsid w:val="003F7F50"/>
    <w:rsid w:val="00400152"/>
    <w:rsid w:val="0040094B"/>
    <w:rsid w:val="004009CE"/>
    <w:rsid w:val="00400E0A"/>
    <w:rsid w:val="00401479"/>
    <w:rsid w:val="004016F3"/>
    <w:rsid w:val="00401F8E"/>
    <w:rsid w:val="00402CCC"/>
    <w:rsid w:val="004040C8"/>
    <w:rsid w:val="00404304"/>
    <w:rsid w:val="004043AC"/>
    <w:rsid w:val="004043F2"/>
    <w:rsid w:val="00404AD9"/>
    <w:rsid w:val="00404FFA"/>
    <w:rsid w:val="0040534E"/>
    <w:rsid w:val="00405EB0"/>
    <w:rsid w:val="00406040"/>
    <w:rsid w:val="00406106"/>
    <w:rsid w:val="004061CA"/>
    <w:rsid w:val="004070DB"/>
    <w:rsid w:val="004074D7"/>
    <w:rsid w:val="00407779"/>
    <w:rsid w:val="00407EE1"/>
    <w:rsid w:val="0041016D"/>
    <w:rsid w:val="004101C4"/>
    <w:rsid w:val="0041103B"/>
    <w:rsid w:val="00411473"/>
    <w:rsid w:val="00411D5B"/>
    <w:rsid w:val="00411F96"/>
    <w:rsid w:val="00411FE0"/>
    <w:rsid w:val="00412312"/>
    <w:rsid w:val="00412AB0"/>
    <w:rsid w:val="00412AFA"/>
    <w:rsid w:val="00412B70"/>
    <w:rsid w:val="00413B1E"/>
    <w:rsid w:val="00413BAF"/>
    <w:rsid w:val="00413C7E"/>
    <w:rsid w:val="00414271"/>
    <w:rsid w:val="004143A4"/>
    <w:rsid w:val="00415154"/>
    <w:rsid w:val="004156A8"/>
    <w:rsid w:val="004156D6"/>
    <w:rsid w:val="0041595C"/>
    <w:rsid w:val="00415FC1"/>
    <w:rsid w:val="00416130"/>
    <w:rsid w:val="0041633D"/>
    <w:rsid w:val="004163E2"/>
    <w:rsid w:val="00416DA0"/>
    <w:rsid w:val="00417B13"/>
    <w:rsid w:val="004204B8"/>
    <w:rsid w:val="00420EE1"/>
    <w:rsid w:val="00421477"/>
    <w:rsid w:val="004224A8"/>
    <w:rsid w:val="004227E3"/>
    <w:rsid w:val="00423096"/>
    <w:rsid w:val="0042381D"/>
    <w:rsid w:val="00424361"/>
    <w:rsid w:val="004243AA"/>
    <w:rsid w:val="00424A8B"/>
    <w:rsid w:val="00425F0C"/>
    <w:rsid w:val="0042680E"/>
    <w:rsid w:val="0043025A"/>
    <w:rsid w:val="004306E4"/>
    <w:rsid w:val="0043084E"/>
    <w:rsid w:val="00430A48"/>
    <w:rsid w:val="00430C92"/>
    <w:rsid w:val="004313C5"/>
    <w:rsid w:val="00431FA0"/>
    <w:rsid w:val="004323BF"/>
    <w:rsid w:val="00432E63"/>
    <w:rsid w:val="00432EDD"/>
    <w:rsid w:val="00433071"/>
    <w:rsid w:val="004335B0"/>
    <w:rsid w:val="00433E3D"/>
    <w:rsid w:val="004340DF"/>
    <w:rsid w:val="00434171"/>
    <w:rsid w:val="00434327"/>
    <w:rsid w:val="00434899"/>
    <w:rsid w:val="0043534E"/>
    <w:rsid w:val="00435A0E"/>
    <w:rsid w:val="00435E07"/>
    <w:rsid w:val="00435E4C"/>
    <w:rsid w:val="00436DE3"/>
    <w:rsid w:val="0043714A"/>
    <w:rsid w:val="0043777A"/>
    <w:rsid w:val="00437910"/>
    <w:rsid w:val="00437F45"/>
    <w:rsid w:val="0044060E"/>
    <w:rsid w:val="0044073B"/>
    <w:rsid w:val="00440DC8"/>
    <w:rsid w:val="00440F16"/>
    <w:rsid w:val="00441167"/>
    <w:rsid w:val="004411FA"/>
    <w:rsid w:val="004413A3"/>
    <w:rsid w:val="00441811"/>
    <w:rsid w:val="004422EE"/>
    <w:rsid w:val="004433DB"/>
    <w:rsid w:val="0044343F"/>
    <w:rsid w:val="004439E7"/>
    <w:rsid w:val="00443A84"/>
    <w:rsid w:val="00443E08"/>
    <w:rsid w:val="004442DB"/>
    <w:rsid w:val="00444334"/>
    <w:rsid w:val="00444406"/>
    <w:rsid w:val="00445F3A"/>
    <w:rsid w:val="0044641C"/>
    <w:rsid w:val="00446442"/>
    <w:rsid w:val="004465AA"/>
    <w:rsid w:val="00447934"/>
    <w:rsid w:val="00450673"/>
    <w:rsid w:val="004506A0"/>
    <w:rsid w:val="00450F32"/>
    <w:rsid w:val="0045145C"/>
    <w:rsid w:val="0045160E"/>
    <w:rsid w:val="00451C9D"/>
    <w:rsid w:val="0045222D"/>
    <w:rsid w:val="00452DFE"/>
    <w:rsid w:val="00452F77"/>
    <w:rsid w:val="00453652"/>
    <w:rsid w:val="00453AE4"/>
    <w:rsid w:val="004541E9"/>
    <w:rsid w:val="004543C0"/>
    <w:rsid w:val="004543EA"/>
    <w:rsid w:val="00454424"/>
    <w:rsid w:val="004547A9"/>
    <w:rsid w:val="0045512E"/>
    <w:rsid w:val="004552AF"/>
    <w:rsid w:val="0045548D"/>
    <w:rsid w:val="004561CB"/>
    <w:rsid w:val="0045651F"/>
    <w:rsid w:val="00456A72"/>
    <w:rsid w:val="00456B66"/>
    <w:rsid w:val="00456D20"/>
    <w:rsid w:val="004575EA"/>
    <w:rsid w:val="00457782"/>
    <w:rsid w:val="004577FE"/>
    <w:rsid w:val="00457CAE"/>
    <w:rsid w:val="00457D3C"/>
    <w:rsid w:val="00460242"/>
    <w:rsid w:val="004622C5"/>
    <w:rsid w:val="00462E9B"/>
    <w:rsid w:val="004631FA"/>
    <w:rsid w:val="00463373"/>
    <w:rsid w:val="0046350B"/>
    <w:rsid w:val="00463616"/>
    <w:rsid w:val="00463B88"/>
    <w:rsid w:val="00463D4B"/>
    <w:rsid w:val="0046431F"/>
    <w:rsid w:val="00464759"/>
    <w:rsid w:val="00464BD0"/>
    <w:rsid w:val="00464ED0"/>
    <w:rsid w:val="00465827"/>
    <w:rsid w:val="00465D98"/>
    <w:rsid w:val="00466A30"/>
    <w:rsid w:val="00466EFC"/>
    <w:rsid w:val="0046772D"/>
    <w:rsid w:val="00467DDB"/>
    <w:rsid w:val="0047081D"/>
    <w:rsid w:val="00470ACC"/>
    <w:rsid w:val="00470D16"/>
    <w:rsid w:val="00470FE6"/>
    <w:rsid w:val="00471366"/>
    <w:rsid w:val="00471CAC"/>
    <w:rsid w:val="00471E2E"/>
    <w:rsid w:val="00471F87"/>
    <w:rsid w:val="00472E9C"/>
    <w:rsid w:val="00472E9E"/>
    <w:rsid w:val="004733A9"/>
    <w:rsid w:val="0047349F"/>
    <w:rsid w:val="004735D2"/>
    <w:rsid w:val="0047371E"/>
    <w:rsid w:val="00473A1C"/>
    <w:rsid w:val="00473A82"/>
    <w:rsid w:val="00474BD0"/>
    <w:rsid w:val="00475346"/>
    <w:rsid w:val="004756C0"/>
    <w:rsid w:val="004759EB"/>
    <w:rsid w:val="004763AC"/>
    <w:rsid w:val="004764F3"/>
    <w:rsid w:val="004770EB"/>
    <w:rsid w:val="0047719A"/>
    <w:rsid w:val="004777A9"/>
    <w:rsid w:val="00477925"/>
    <w:rsid w:val="00477EEB"/>
    <w:rsid w:val="00477FB2"/>
    <w:rsid w:val="00477FB7"/>
    <w:rsid w:val="004814E0"/>
    <w:rsid w:val="004817AB"/>
    <w:rsid w:val="00481865"/>
    <w:rsid w:val="00481D3C"/>
    <w:rsid w:val="00481E6B"/>
    <w:rsid w:val="00481EAA"/>
    <w:rsid w:val="00482E77"/>
    <w:rsid w:val="004830C0"/>
    <w:rsid w:val="00483847"/>
    <w:rsid w:val="0048390F"/>
    <w:rsid w:val="00483A03"/>
    <w:rsid w:val="00483C43"/>
    <w:rsid w:val="004842F0"/>
    <w:rsid w:val="00484319"/>
    <w:rsid w:val="0048467E"/>
    <w:rsid w:val="00484925"/>
    <w:rsid w:val="00484AC3"/>
    <w:rsid w:val="00484B3E"/>
    <w:rsid w:val="00484B84"/>
    <w:rsid w:val="00485618"/>
    <w:rsid w:val="004859FB"/>
    <w:rsid w:val="00486324"/>
    <w:rsid w:val="00486EF7"/>
    <w:rsid w:val="004879C9"/>
    <w:rsid w:val="00487A66"/>
    <w:rsid w:val="00487E12"/>
    <w:rsid w:val="004904BB"/>
    <w:rsid w:val="00490F4F"/>
    <w:rsid w:val="0049119C"/>
    <w:rsid w:val="0049140F"/>
    <w:rsid w:val="00491780"/>
    <w:rsid w:val="00491AA7"/>
    <w:rsid w:val="0049288A"/>
    <w:rsid w:val="00492963"/>
    <w:rsid w:val="00492F8B"/>
    <w:rsid w:val="00493B96"/>
    <w:rsid w:val="00493B9B"/>
    <w:rsid w:val="0049418E"/>
    <w:rsid w:val="00494725"/>
    <w:rsid w:val="004949D6"/>
    <w:rsid w:val="00494B4B"/>
    <w:rsid w:val="00495A4D"/>
    <w:rsid w:val="00495EF5"/>
    <w:rsid w:val="0049667D"/>
    <w:rsid w:val="00496CE5"/>
    <w:rsid w:val="0049704E"/>
    <w:rsid w:val="00497499"/>
    <w:rsid w:val="00497B02"/>
    <w:rsid w:val="004A01DF"/>
    <w:rsid w:val="004A04C2"/>
    <w:rsid w:val="004A08B5"/>
    <w:rsid w:val="004A09B0"/>
    <w:rsid w:val="004A1F2D"/>
    <w:rsid w:val="004A21A7"/>
    <w:rsid w:val="004A21F3"/>
    <w:rsid w:val="004A252C"/>
    <w:rsid w:val="004A2700"/>
    <w:rsid w:val="004A275F"/>
    <w:rsid w:val="004A2E78"/>
    <w:rsid w:val="004A31EC"/>
    <w:rsid w:val="004A32D4"/>
    <w:rsid w:val="004A40FC"/>
    <w:rsid w:val="004A4201"/>
    <w:rsid w:val="004A452F"/>
    <w:rsid w:val="004A47CA"/>
    <w:rsid w:val="004A4831"/>
    <w:rsid w:val="004A4AEB"/>
    <w:rsid w:val="004A598F"/>
    <w:rsid w:val="004A5D9E"/>
    <w:rsid w:val="004A6705"/>
    <w:rsid w:val="004A68F9"/>
    <w:rsid w:val="004A7499"/>
    <w:rsid w:val="004A7AC7"/>
    <w:rsid w:val="004A7D2D"/>
    <w:rsid w:val="004B1813"/>
    <w:rsid w:val="004B1A69"/>
    <w:rsid w:val="004B2363"/>
    <w:rsid w:val="004B242E"/>
    <w:rsid w:val="004B2F38"/>
    <w:rsid w:val="004B321A"/>
    <w:rsid w:val="004B3820"/>
    <w:rsid w:val="004B3C26"/>
    <w:rsid w:val="004B3DDA"/>
    <w:rsid w:val="004B3EB4"/>
    <w:rsid w:val="004B42FA"/>
    <w:rsid w:val="004B4B04"/>
    <w:rsid w:val="004B5A98"/>
    <w:rsid w:val="004B5E36"/>
    <w:rsid w:val="004C05BF"/>
    <w:rsid w:val="004C0BF3"/>
    <w:rsid w:val="004C1BE6"/>
    <w:rsid w:val="004C1EF9"/>
    <w:rsid w:val="004C2190"/>
    <w:rsid w:val="004C2751"/>
    <w:rsid w:val="004C2D1E"/>
    <w:rsid w:val="004C4ADE"/>
    <w:rsid w:val="004C50EA"/>
    <w:rsid w:val="004C52CF"/>
    <w:rsid w:val="004C5CDF"/>
    <w:rsid w:val="004C6424"/>
    <w:rsid w:val="004C6D2B"/>
    <w:rsid w:val="004C6D95"/>
    <w:rsid w:val="004C7205"/>
    <w:rsid w:val="004C7718"/>
    <w:rsid w:val="004C78D2"/>
    <w:rsid w:val="004D03AA"/>
    <w:rsid w:val="004D04B9"/>
    <w:rsid w:val="004D0859"/>
    <w:rsid w:val="004D0B8E"/>
    <w:rsid w:val="004D0C01"/>
    <w:rsid w:val="004D0C2F"/>
    <w:rsid w:val="004D134B"/>
    <w:rsid w:val="004D1A19"/>
    <w:rsid w:val="004D1C13"/>
    <w:rsid w:val="004D2AAE"/>
    <w:rsid w:val="004D3060"/>
    <w:rsid w:val="004D3097"/>
    <w:rsid w:val="004D3170"/>
    <w:rsid w:val="004D31C4"/>
    <w:rsid w:val="004D3633"/>
    <w:rsid w:val="004D3726"/>
    <w:rsid w:val="004D3D5F"/>
    <w:rsid w:val="004D421A"/>
    <w:rsid w:val="004D4B41"/>
    <w:rsid w:val="004D54EC"/>
    <w:rsid w:val="004D5608"/>
    <w:rsid w:val="004D5F3A"/>
    <w:rsid w:val="004D60E0"/>
    <w:rsid w:val="004D72FC"/>
    <w:rsid w:val="004D73E3"/>
    <w:rsid w:val="004D7568"/>
    <w:rsid w:val="004D774E"/>
    <w:rsid w:val="004D7B2D"/>
    <w:rsid w:val="004E03DE"/>
    <w:rsid w:val="004E0751"/>
    <w:rsid w:val="004E07BD"/>
    <w:rsid w:val="004E08B3"/>
    <w:rsid w:val="004E1882"/>
    <w:rsid w:val="004E23AF"/>
    <w:rsid w:val="004E25BC"/>
    <w:rsid w:val="004E2A7A"/>
    <w:rsid w:val="004E3160"/>
    <w:rsid w:val="004E369E"/>
    <w:rsid w:val="004E3968"/>
    <w:rsid w:val="004E3CAE"/>
    <w:rsid w:val="004E3DF9"/>
    <w:rsid w:val="004E3E0A"/>
    <w:rsid w:val="004E3E9F"/>
    <w:rsid w:val="004E3FC5"/>
    <w:rsid w:val="004E41E9"/>
    <w:rsid w:val="004E438C"/>
    <w:rsid w:val="004E4AA7"/>
    <w:rsid w:val="004E5F8D"/>
    <w:rsid w:val="004E68A0"/>
    <w:rsid w:val="004E6DE1"/>
    <w:rsid w:val="004E7066"/>
    <w:rsid w:val="004E73DD"/>
    <w:rsid w:val="004E75CC"/>
    <w:rsid w:val="004E7DBA"/>
    <w:rsid w:val="004F0A9A"/>
    <w:rsid w:val="004F0BEF"/>
    <w:rsid w:val="004F102B"/>
    <w:rsid w:val="004F144F"/>
    <w:rsid w:val="004F19D8"/>
    <w:rsid w:val="004F1BCF"/>
    <w:rsid w:val="004F235C"/>
    <w:rsid w:val="004F30DD"/>
    <w:rsid w:val="004F375C"/>
    <w:rsid w:val="004F403A"/>
    <w:rsid w:val="004F40E1"/>
    <w:rsid w:val="004F4332"/>
    <w:rsid w:val="004F4FA6"/>
    <w:rsid w:val="004F52FC"/>
    <w:rsid w:val="004F54D7"/>
    <w:rsid w:val="004F557A"/>
    <w:rsid w:val="004F5B3C"/>
    <w:rsid w:val="004F5D8D"/>
    <w:rsid w:val="004F616A"/>
    <w:rsid w:val="004F671C"/>
    <w:rsid w:val="004F6E1F"/>
    <w:rsid w:val="004F7159"/>
    <w:rsid w:val="004F7973"/>
    <w:rsid w:val="0050031E"/>
    <w:rsid w:val="005010D3"/>
    <w:rsid w:val="005010F3"/>
    <w:rsid w:val="0050110D"/>
    <w:rsid w:val="0050288E"/>
    <w:rsid w:val="00502D47"/>
    <w:rsid w:val="00502E39"/>
    <w:rsid w:val="00503005"/>
    <w:rsid w:val="00503086"/>
    <w:rsid w:val="005032C5"/>
    <w:rsid w:val="005033D1"/>
    <w:rsid w:val="00503617"/>
    <w:rsid w:val="005039E1"/>
    <w:rsid w:val="00503EB5"/>
    <w:rsid w:val="00504565"/>
    <w:rsid w:val="00504C4F"/>
    <w:rsid w:val="00504F39"/>
    <w:rsid w:val="00504FD0"/>
    <w:rsid w:val="00505837"/>
    <w:rsid w:val="00505F1D"/>
    <w:rsid w:val="005061F0"/>
    <w:rsid w:val="005063DF"/>
    <w:rsid w:val="00506BCE"/>
    <w:rsid w:val="00507A79"/>
    <w:rsid w:val="00510203"/>
    <w:rsid w:val="0051034B"/>
    <w:rsid w:val="00510658"/>
    <w:rsid w:val="00510C19"/>
    <w:rsid w:val="00510D9C"/>
    <w:rsid w:val="00510DF9"/>
    <w:rsid w:val="00510EC0"/>
    <w:rsid w:val="0051129E"/>
    <w:rsid w:val="0051131F"/>
    <w:rsid w:val="00511408"/>
    <w:rsid w:val="0051170B"/>
    <w:rsid w:val="005117CE"/>
    <w:rsid w:val="005134A6"/>
    <w:rsid w:val="00513FF7"/>
    <w:rsid w:val="005146D7"/>
    <w:rsid w:val="005147A8"/>
    <w:rsid w:val="0051496E"/>
    <w:rsid w:val="005149C2"/>
    <w:rsid w:val="00514E50"/>
    <w:rsid w:val="00514E70"/>
    <w:rsid w:val="005154DB"/>
    <w:rsid w:val="00515557"/>
    <w:rsid w:val="00516603"/>
    <w:rsid w:val="0051755D"/>
    <w:rsid w:val="0051773C"/>
    <w:rsid w:val="00517B4B"/>
    <w:rsid w:val="00520942"/>
    <w:rsid w:val="00520C4F"/>
    <w:rsid w:val="005214D9"/>
    <w:rsid w:val="00521A16"/>
    <w:rsid w:val="005223B9"/>
    <w:rsid w:val="00522CEB"/>
    <w:rsid w:val="00522DE7"/>
    <w:rsid w:val="00523278"/>
    <w:rsid w:val="005236AA"/>
    <w:rsid w:val="00523776"/>
    <w:rsid w:val="005238C2"/>
    <w:rsid w:val="00523ADF"/>
    <w:rsid w:val="00523DC9"/>
    <w:rsid w:val="00524D44"/>
    <w:rsid w:val="00525477"/>
    <w:rsid w:val="005256E6"/>
    <w:rsid w:val="005267A0"/>
    <w:rsid w:val="00526B5D"/>
    <w:rsid w:val="00526D75"/>
    <w:rsid w:val="005279E3"/>
    <w:rsid w:val="00527CD1"/>
    <w:rsid w:val="005304C1"/>
    <w:rsid w:val="00530ECB"/>
    <w:rsid w:val="0053108D"/>
    <w:rsid w:val="00531315"/>
    <w:rsid w:val="00531368"/>
    <w:rsid w:val="005317CE"/>
    <w:rsid w:val="005318D1"/>
    <w:rsid w:val="00531CBC"/>
    <w:rsid w:val="00532070"/>
    <w:rsid w:val="00532206"/>
    <w:rsid w:val="0053294F"/>
    <w:rsid w:val="005330E3"/>
    <w:rsid w:val="0053364F"/>
    <w:rsid w:val="0053379B"/>
    <w:rsid w:val="00533BAF"/>
    <w:rsid w:val="00533DF2"/>
    <w:rsid w:val="00534AF9"/>
    <w:rsid w:val="00534BF1"/>
    <w:rsid w:val="00535838"/>
    <w:rsid w:val="005358B1"/>
    <w:rsid w:val="00535A12"/>
    <w:rsid w:val="00535ABC"/>
    <w:rsid w:val="005362A5"/>
    <w:rsid w:val="0053647E"/>
    <w:rsid w:val="00537275"/>
    <w:rsid w:val="00537FA9"/>
    <w:rsid w:val="00540125"/>
    <w:rsid w:val="005407AA"/>
    <w:rsid w:val="005407BA"/>
    <w:rsid w:val="00541CC8"/>
    <w:rsid w:val="00542313"/>
    <w:rsid w:val="00542AF2"/>
    <w:rsid w:val="0054371F"/>
    <w:rsid w:val="00543B98"/>
    <w:rsid w:val="0054415F"/>
    <w:rsid w:val="005447BE"/>
    <w:rsid w:val="00544E53"/>
    <w:rsid w:val="0054529D"/>
    <w:rsid w:val="00546E2C"/>
    <w:rsid w:val="0054753F"/>
    <w:rsid w:val="0054767F"/>
    <w:rsid w:val="0054785B"/>
    <w:rsid w:val="00550AB4"/>
    <w:rsid w:val="00550BD8"/>
    <w:rsid w:val="005513BE"/>
    <w:rsid w:val="00551944"/>
    <w:rsid w:val="00551B36"/>
    <w:rsid w:val="00551BE2"/>
    <w:rsid w:val="00551C43"/>
    <w:rsid w:val="00551E52"/>
    <w:rsid w:val="005520DD"/>
    <w:rsid w:val="005520E1"/>
    <w:rsid w:val="00552201"/>
    <w:rsid w:val="00552218"/>
    <w:rsid w:val="00552795"/>
    <w:rsid w:val="00552960"/>
    <w:rsid w:val="00552FDC"/>
    <w:rsid w:val="0055305D"/>
    <w:rsid w:val="00554258"/>
    <w:rsid w:val="005546F1"/>
    <w:rsid w:val="00554A9C"/>
    <w:rsid w:val="0055527A"/>
    <w:rsid w:val="0055557C"/>
    <w:rsid w:val="00555961"/>
    <w:rsid w:val="00555C48"/>
    <w:rsid w:val="00555FA3"/>
    <w:rsid w:val="00556618"/>
    <w:rsid w:val="005566C8"/>
    <w:rsid w:val="00556858"/>
    <w:rsid w:val="00556889"/>
    <w:rsid w:val="00557786"/>
    <w:rsid w:val="00557821"/>
    <w:rsid w:val="0055799D"/>
    <w:rsid w:val="00557D4E"/>
    <w:rsid w:val="00560D59"/>
    <w:rsid w:val="00560D79"/>
    <w:rsid w:val="005612AB"/>
    <w:rsid w:val="00561FCC"/>
    <w:rsid w:val="00562467"/>
    <w:rsid w:val="005627FC"/>
    <w:rsid w:val="00562BFE"/>
    <w:rsid w:val="00562D7B"/>
    <w:rsid w:val="00563783"/>
    <w:rsid w:val="0056459B"/>
    <w:rsid w:val="00565C1C"/>
    <w:rsid w:val="0056634B"/>
    <w:rsid w:val="00566503"/>
    <w:rsid w:val="005670DC"/>
    <w:rsid w:val="00567965"/>
    <w:rsid w:val="00567E3B"/>
    <w:rsid w:val="0057060A"/>
    <w:rsid w:val="00570924"/>
    <w:rsid w:val="00570FA4"/>
    <w:rsid w:val="005711A0"/>
    <w:rsid w:val="0057120F"/>
    <w:rsid w:val="005714F6"/>
    <w:rsid w:val="005717FB"/>
    <w:rsid w:val="005720F6"/>
    <w:rsid w:val="00572390"/>
    <w:rsid w:val="00572831"/>
    <w:rsid w:val="005728CD"/>
    <w:rsid w:val="00572B35"/>
    <w:rsid w:val="00573220"/>
    <w:rsid w:val="005733E9"/>
    <w:rsid w:val="00573C0E"/>
    <w:rsid w:val="00573E4F"/>
    <w:rsid w:val="00574667"/>
    <w:rsid w:val="00574A67"/>
    <w:rsid w:val="00574CBB"/>
    <w:rsid w:val="005754C1"/>
    <w:rsid w:val="00575785"/>
    <w:rsid w:val="00575858"/>
    <w:rsid w:val="005758F6"/>
    <w:rsid w:val="00575F42"/>
    <w:rsid w:val="005767FF"/>
    <w:rsid w:val="00576D7A"/>
    <w:rsid w:val="00577857"/>
    <w:rsid w:val="005779EE"/>
    <w:rsid w:val="00577F6B"/>
    <w:rsid w:val="0058095A"/>
    <w:rsid w:val="00580EA3"/>
    <w:rsid w:val="005822A1"/>
    <w:rsid w:val="00582D97"/>
    <w:rsid w:val="0058366E"/>
    <w:rsid w:val="00583BE6"/>
    <w:rsid w:val="005842F7"/>
    <w:rsid w:val="005845F2"/>
    <w:rsid w:val="00584818"/>
    <w:rsid w:val="00584907"/>
    <w:rsid w:val="00584991"/>
    <w:rsid w:val="00586424"/>
    <w:rsid w:val="00586DAA"/>
    <w:rsid w:val="00586F92"/>
    <w:rsid w:val="00590436"/>
    <w:rsid w:val="00590784"/>
    <w:rsid w:val="0059083C"/>
    <w:rsid w:val="00590A2F"/>
    <w:rsid w:val="005933EE"/>
    <w:rsid w:val="005941AB"/>
    <w:rsid w:val="0059422F"/>
    <w:rsid w:val="005956FA"/>
    <w:rsid w:val="00595B3D"/>
    <w:rsid w:val="00595C50"/>
    <w:rsid w:val="005969A9"/>
    <w:rsid w:val="00596A07"/>
    <w:rsid w:val="00596B99"/>
    <w:rsid w:val="005971C5"/>
    <w:rsid w:val="00597433"/>
    <w:rsid w:val="00597F7E"/>
    <w:rsid w:val="005A0BEC"/>
    <w:rsid w:val="005A0D96"/>
    <w:rsid w:val="005A1090"/>
    <w:rsid w:val="005A1325"/>
    <w:rsid w:val="005A134F"/>
    <w:rsid w:val="005A1BAE"/>
    <w:rsid w:val="005A2239"/>
    <w:rsid w:val="005A22A0"/>
    <w:rsid w:val="005A2346"/>
    <w:rsid w:val="005A2348"/>
    <w:rsid w:val="005A3093"/>
    <w:rsid w:val="005A3374"/>
    <w:rsid w:val="005A41D1"/>
    <w:rsid w:val="005A5BA2"/>
    <w:rsid w:val="005A62C0"/>
    <w:rsid w:val="005A6E81"/>
    <w:rsid w:val="005A724B"/>
    <w:rsid w:val="005A74A2"/>
    <w:rsid w:val="005A7703"/>
    <w:rsid w:val="005A7A74"/>
    <w:rsid w:val="005B01E1"/>
    <w:rsid w:val="005B01F4"/>
    <w:rsid w:val="005B02AA"/>
    <w:rsid w:val="005B0E01"/>
    <w:rsid w:val="005B1883"/>
    <w:rsid w:val="005B238F"/>
    <w:rsid w:val="005B2C75"/>
    <w:rsid w:val="005B2D82"/>
    <w:rsid w:val="005B34C1"/>
    <w:rsid w:val="005B3672"/>
    <w:rsid w:val="005B3EFE"/>
    <w:rsid w:val="005B68E0"/>
    <w:rsid w:val="005B6D84"/>
    <w:rsid w:val="005B7008"/>
    <w:rsid w:val="005B70E7"/>
    <w:rsid w:val="005B736B"/>
    <w:rsid w:val="005B75DD"/>
    <w:rsid w:val="005C0378"/>
    <w:rsid w:val="005C04DD"/>
    <w:rsid w:val="005C09FF"/>
    <w:rsid w:val="005C0C94"/>
    <w:rsid w:val="005C1BA9"/>
    <w:rsid w:val="005C2068"/>
    <w:rsid w:val="005C2B3C"/>
    <w:rsid w:val="005C3115"/>
    <w:rsid w:val="005C32BB"/>
    <w:rsid w:val="005C32D7"/>
    <w:rsid w:val="005C33F3"/>
    <w:rsid w:val="005C36AB"/>
    <w:rsid w:val="005C3D9F"/>
    <w:rsid w:val="005C41D4"/>
    <w:rsid w:val="005C4595"/>
    <w:rsid w:val="005C492C"/>
    <w:rsid w:val="005C4973"/>
    <w:rsid w:val="005C4BC4"/>
    <w:rsid w:val="005C4BD8"/>
    <w:rsid w:val="005C5C85"/>
    <w:rsid w:val="005C603F"/>
    <w:rsid w:val="005C6514"/>
    <w:rsid w:val="005C6620"/>
    <w:rsid w:val="005C734C"/>
    <w:rsid w:val="005C76EE"/>
    <w:rsid w:val="005C7B67"/>
    <w:rsid w:val="005C7CB3"/>
    <w:rsid w:val="005D020E"/>
    <w:rsid w:val="005D07BB"/>
    <w:rsid w:val="005D085B"/>
    <w:rsid w:val="005D1D92"/>
    <w:rsid w:val="005D2060"/>
    <w:rsid w:val="005D2A6C"/>
    <w:rsid w:val="005D2D46"/>
    <w:rsid w:val="005D30A2"/>
    <w:rsid w:val="005D3B7A"/>
    <w:rsid w:val="005D3CDC"/>
    <w:rsid w:val="005D43A8"/>
    <w:rsid w:val="005D4522"/>
    <w:rsid w:val="005D4863"/>
    <w:rsid w:val="005D5274"/>
    <w:rsid w:val="005D6984"/>
    <w:rsid w:val="005D7CBB"/>
    <w:rsid w:val="005E0262"/>
    <w:rsid w:val="005E02FD"/>
    <w:rsid w:val="005E0A23"/>
    <w:rsid w:val="005E1278"/>
    <w:rsid w:val="005E16F5"/>
    <w:rsid w:val="005E1870"/>
    <w:rsid w:val="005E282A"/>
    <w:rsid w:val="005E3795"/>
    <w:rsid w:val="005E4A38"/>
    <w:rsid w:val="005E4F8B"/>
    <w:rsid w:val="005E5F21"/>
    <w:rsid w:val="005E6E3A"/>
    <w:rsid w:val="005E6E93"/>
    <w:rsid w:val="005E6F03"/>
    <w:rsid w:val="005E7024"/>
    <w:rsid w:val="005E7149"/>
    <w:rsid w:val="005F011B"/>
    <w:rsid w:val="005F07EE"/>
    <w:rsid w:val="005F0DE0"/>
    <w:rsid w:val="005F188D"/>
    <w:rsid w:val="005F2503"/>
    <w:rsid w:val="005F34E5"/>
    <w:rsid w:val="005F37F7"/>
    <w:rsid w:val="005F3A0B"/>
    <w:rsid w:val="005F3C7A"/>
    <w:rsid w:val="005F4045"/>
    <w:rsid w:val="005F405A"/>
    <w:rsid w:val="005F4257"/>
    <w:rsid w:val="005F4338"/>
    <w:rsid w:val="005F5263"/>
    <w:rsid w:val="005F544F"/>
    <w:rsid w:val="005F5E00"/>
    <w:rsid w:val="005F605D"/>
    <w:rsid w:val="005F61DB"/>
    <w:rsid w:val="005F64E8"/>
    <w:rsid w:val="005F6923"/>
    <w:rsid w:val="005F6DC6"/>
    <w:rsid w:val="005F74A6"/>
    <w:rsid w:val="005F76EC"/>
    <w:rsid w:val="005F78AF"/>
    <w:rsid w:val="00600195"/>
    <w:rsid w:val="00600821"/>
    <w:rsid w:val="00600872"/>
    <w:rsid w:val="00600877"/>
    <w:rsid w:val="00600BA1"/>
    <w:rsid w:val="00600D52"/>
    <w:rsid w:val="00600E06"/>
    <w:rsid w:val="00602155"/>
    <w:rsid w:val="00602337"/>
    <w:rsid w:val="006023E3"/>
    <w:rsid w:val="006023E6"/>
    <w:rsid w:val="00602701"/>
    <w:rsid w:val="00602752"/>
    <w:rsid w:val="006028A4"/>
    <w:rsid w:val="0060306A"/>
    <w:rsid w:val="00603416"/>
    <w:rsid w:val="00603769"/>
    <w:rsid w:val="00603C1B"/>
    <w:rsid w:val="00603C85"/>
    <w:rsid w:val="00603D35"/>
    <w:rsid w:val="00604693"/>
    <w:rsid w:val="00604742"/>
    <w:rsid w:val="00604A69"/>
    <w:rsid w:val="00604D3D"/>
    <w:rsid w:val="00605506"/>
    <w:rsid w:val="0060578A"/>
    <w:rsid w:val="00605A68"/>
    <w:rsid w:val="00606176"/>
    <w:rsid w:val="00606E41"/>
    <w:rsid w:val="00606F6A"/>
    <w:rsid w:val="00607166"/>
    <w:rsid w:val="00610207"/>
    <w:rsid w:val="00610978"/>
    <w:rsid w:val="00610C2D"/>
    <w:rsid w:val="00610C67"/>
    <w:rsid w:val="0061200F"/>
    <w:rsid w:val="00612E07"/>
    <w:rsid w:val="00613204"/>
    <w:rsid w:val="0061341B"/>
    <w:rsid w:val="00613572"/>
    <w:rsid w:val="00613D67"/>
    <w:rsid w:val="00613D80"/>
    <w:rsid w:val="00614635"/>
    <w:rsid w:val="00614F3F"/>
    <w:rsid w:val="006153B1"/>
    <w:rsid w:val="00615661"/>
    <w:rsid w:val="006156D9"/>
    <w:rsid w:val="00615D83"/>
    <w:rsid w:val="00615FCB"/>
    <w:rsid w:val="00616030"/>
    <w:rsid w:val="0061677D"/>
    <w:rsid w:val="00617308"/>
    <w:rsid w:val="0061749F"/>
    <w:rsid w:val="00617D1D"/>
    <w:rsid w:val="0062056F"/>
    <w:rsid w:val="00621040"/>
    <w:rsid w:val="00621EC6"/>
    <w:rsid w:val="00622044"/>
    <w:rsid w:val="006222A9"/>
    <w:rsid w:val="006226AD"/>
    <w:rsid w:val="0062400A"/>
    <w:rsid w:val="006242B3"/>
    <w:rsid w:val="00624933"/>
    <w:rsid w:val="00624F33"/>
    <w:rsid w:val="00625FEF"/>
    <w:rsid w:val="0062613E"/>
    <w:rsid w:val="00626B0A"/>
    <w:rsid w:val="00626F98"/>
    <w:rsid w:val="00627E1A"/>
    <w:rsid w:val="006300BC"/>
    <w:rsid w:val="006301A5"/>
    <w:rsid w:val="006301E6"/>
    <w:rsid w:val="0063045F"/>
    <w:rsid w:val="00631B87"/>
    <w:rsid w:val="00631F6F"/>
    <w:rsid w:val="00632542"/>
    <w:rsid w:val="006333F8"/>
    <w:rsid w:val="00633600"/>
    <w:rsid w:val="00633951"/>
    <w:rsid w:val="00633C72"/>
    <w:rsid w:val="006344E9"/>
    <w:rsid w:val="00634B05"/>
    <w:rsid w:val="00634D71"/>
    <w:rsid w:val="006354D3"/>
    <w:rsid w:val="006359DD"/>
    <w:rsid w:val="00635FB7"/>
    <w:rsid w:val="006365C3"/>
    <w:rsid w:val="00636F13"/>
    <w:rsid w:val="00637457"/>
    <w:rsid w:val="00637632"/>
    <w:rsid w:val="00637ABD"/>
    <w:rsid w:val="00637F29"/>
    <w:rsid w:val="0064065A"/>
    <w:rsid w:val="00640990"/>
    <w:rsid w:val="00640C9E"/>
    <w:rsid w:val="00641837"/>
    <w:rsid w:val="00641B38"/>
    <w:rsid w:val="006421A5"/>
    <w:rsid w:val="006423EA"/>
    <w:rsid w:val="00642911"/>
    <w:rsid w:val="0064306D"/>
    <w:rsid w:val="00643A2E"/>
    <w:rsid w:val="00643D82"/>
    <w:rsid w:val="00643F7E"/>
    <w:rsid w:val="00644093"/>
    <w:rsid w:val="00644D19"/>
    <w:rsid w:val="00645B21"/>
    <w:rsid w:val="00646F2A"/>
    <w:rsid w:val="00647D56"/>
    <w:rsid w:val="006504F5"/>
    <w:rsid w:val="006509DB"/>
    <w:rsid w:val="00650A9B"/>
    <w:rsid w:val="006514C5"/>
    <w:rsid w:val="006516CB"/>
    <w:rsid w:val="00651CE7"/>
    <w:rsid w:val="00651E9A"/>
    <w:rsid w:val="00652234"/>
    <w:rsid w:val="0065364C"/>
    <w:rsid w:val="00653687"/>
    <w:rsid w:val="0065387E"/>
    <w:rsid w:val="00653E99"/>
    <w:rsid w:val="0065434A"/>
    <w:rsid w:val="00654367"/>
    <w:rsid w:val="00654BCE"/>
    <w:rsid w:val="006568D5"/>
    <w:rsid w:val="00656C5C"/>
    <w:rsid w:val="006573AA"/>
    <w:rsid w:val="0066039F"/>
    <w:rsid w:val="0066043F"/>
    <w:rsid w:val="00660730"/>
    <w:rsid w:val="00660AC6"/>
    <w:rsid w:val="00660B33"/>
    <w:rsid w:val="00660D17"/>
    <w:rsid w:val="00660EBC"/>
    <w:rsid w:val="00660F2A"/>
    <w:rsid w:val="00661041"/>
    <w:rsid w:val="0066172A"/>
    <w:rsid w:val="006622C2"/>
    <w:rsid w:val="006625C5"/>
    <w:rsid w:val="00663015"/>
    <w:rsid w:val="0066305F"/>
    <w:rsid w:val="00663610"/>
    <w:rsid w:val="00663B08"/>
    <w:rsid w:val="00664DBA"/>
    <w:rsid w:val="00665AAA"/>
    <w:rsid w:val="00665B8C"/>
    <w:rsid w:val="00665EE3"/>
    <w:rsid w:val="00665EEB"/>
    <w:rsid w:val="00666599"/>
    <w:rsid w:val="0066667B"/>
    <w:rsid w:val="006668B4"/>
    <w:rsid w:val="00666C38"/>
    <w:rsid w:val="006678B5"/>
    <w:rsid w:val="006678DB"/>
    <w:rsid w:val="0067063A"/>
    <w:rsid w:val="006709F3"/>
    <w:rsid w:val="00670B47"/>
    <w:rsid w:val="00670EFD"/>
    <w:rsid w:val="0067160F"/>
    <w:rsid w:val="006723A3"/>
    <w:rsid w:val="00672798"/>
    <w:rsid w:val="00672FCF"/>
    <w:rsid w:val="006733E2"/>
    <w:rsid w:val="006735B0"/>
    <w:rsid w:val="00673657"/>
    <w:rsid w:val="0067392B"/>
    <w:rsid w:val="00673A60"/>
    <w:rsid w:val="00673E9B"/>
    <w:rsid w:val="00674BAA"/>
    <w:rsid w:val="00674DFF"/>
    <w:rsid w:val="00674E9F"/>
    <w:rsid w:val="00674F3E"/>
    <w:rsid w:val="0067546F"/>
    <w:rsid w:val="00675593"/>
    <w:rsid w:val="006760B2"/>
    <w:rsid w:val="006768C2"/>
    <w:rsid w:val="00676D15"/>
    <w:rsid w:val="00676E22"/>
    <w:rsid w:val="00676E48"/>
    <w:rsid w:val="0067793B"/>
    <w:rsid w:val="0068013E"/>
    <w:rsid w:val="0068040A"/>
    <w:rsid w:val="0068042A"/>
    <w:rsid w:val="006804C1"/>
    <w:rsid w:val="006825D1"/>
    <w:rsid w:val="00682799"/>
    <w:rsid w:val="00682D02"/>
    <w:rsid w:val="00682D85"/>
    <w:rsid w:val="00683094"/>
    <w:rsid w:val="00683098"/>
    <w:rsid w:val="00683469"/>
    <w:rsid w:val="00683525"/>
    <w:rsid w:val="00683B77"/>
    <w:rsid w:val="00683C24"/>
    <w:rsid w:val="0068413A"/>
    <w:rsid w:val="00684281"/>
    <w:rsid w:val="006844DE"/>
    <w:rsid w:val="006852CF"/>
    <w:rsid w:val="00685358"/>
    <w:rsid w:val="006858BA"/>
    <w:rsid w:val="0068599B"/>
    <w:rsid w:val="00685A7A"/>
    <w:rsid w:val="00685E2B"/>
    <w:rsid w:val="0068639C"/>
    <w:rsid w:val="00686696"/>
    <w:rsid w:val="00686697"/>
    <w:rsid w:val="006869B9"/>
    <w:rsid w:val="00686B49"/>
    <w:rsid w:val="006870EA"/>
    <w:rsid w:val="00687F9A"/>
    <w:rsid w:val="006900A3"/>
    <w:rsid w:val="00690674"/>
    <w:rsid w:val="00690E8C"/>
    <w:rsid w:val="00691604"/>
    <w:rsid w:val="00691B0C"/>
    <w:rsid w:val="00691B21"/>
    <w:rsid w:val="0069286C"/>
    <w:rsid w:val="00692E2D"/>
    <w:rsid w:val="00692E8A"/>
    <w:rsid w:val="00693163"/>
    <w:rsid w:val="006933A9"/>
    <w:rsid w:val="00693B16"/>
    <w:rsid w:val="0069467F"/>
    <w:rsid w:val="006954A8"/>
    <w:rsid w:val="006954BD"/>
    <w:rsid w:val="006955E1"/>
    <w:rsid w:val="006956EF"/>
    <w:rsid w:val="00696686"/>
    <w:rsid w:val="006968C6"/>
    <w:rsid w:val="00696945"/>
    <w:rsid w:val="00696F86"/>
    <w:rsid w:val="00697379"/>
    <w:rsid w:val="00697B6F"/>
    <w:rsid w:val="00697B85"/>
    <w:rsid w:val="00697E5B"/>
    <w:rsid w:val="00697E82"/>
    <w:rsid w:val="00697FF7"/>
    <w:rsid w:val="006A04EB"/>
    <w:rsid w:val="006A0C90"/>
    <w:rsid w:val="006A14CC"/>
    <w:rsid w:val="006A1523"/>
    <w:rsid w:val="006A1DE4"/>
    <w:rsid w:val="006A2218"/>
    <w:rsid w:val="006A23F4"/>
    <w:rsid w:val="006A35C1"/>
    <w:rsid w:val="006A4614"/>
    <w:rsid w:val="006A4AE8"/>
    <w:rsid w:val="006A4CA1"/>
    <w:rsid w:val="006A5157"/>
    <w:rsid w:val="006A51D9"/>
    <w:rsid w:val="006A520D"/>
    <w:rsid w:val="006A5BD1"/>
    <w:rsid w:val="006A60A6"/>
    <w:rsid w:val="006A6955"/>
    <w:rsid w:val="006A6C31"/>
    <w:rsid w:val="006A7661"/>
    <w:rsid w:val="006A774D"/>
    <w:rsid w:val="006A7894"/>
    <w:rsid w:val="006B0641"/>
    <w:rsid w:val="006B0808"/>
    <w:rsid w:val="006B0C9F"/>
    <w:rsid w:val="006B138B"/>
    <w:rsid w:val="006B17B6"/>
    <w:rsid w:val="006B193D"/>
    <w:rsid w:val="006B1B24"/>
    <w:rsid w:val="006B2072"/>
    <w:rsid w:val="006B27A0"/>
    <w:rsid w:val="006B2ECD"/>
    <w:rsid w:val="006B2F82"/>
    <w:rsid w:val="006B3591"/>
    <w:rsid w:val="006B3D20"/>
    <w:rsid w:val="006B40DC"/>
    <w:rsid w:val="006B485A"/>
    <w:rsid w:val="006B49E0"/>
    <w:rsid w:val="006B555E"/>
    <w:rsid w:val="006B5737"/>
    <w:rsid w:val="006B58C4"/>
    <w:rsid w:val="006B5AC3"/>
    <w:rsid w:val="006B5CBA"/>
    <w:rsid w:val="006B5E87"/>
    <w:rsid w:val="006B5F6C"/>
    <w:rsid w:val="006B681B"/>
    <w:rsid w:val="006B6C2D"/>
    <w:rsid w:val="006B6F6A"/>
    <w:rsid w:val="006B70B9"/>
    <w:rsid w:val="006B7492"/>
    <w:rsid w:val="006B75CF"/>
    <w:rsid w:val="006C0080"/>
    <w:rsid w:val="006C073B"/>
    <w:rsid w:val="006C1859"/>
    <w:rsid w:val="006C1919"/>
    <w:rsid w:val="006C1BAF"/>
    <w:rsid w:val="006C1C5F"/>
    <w:rsid w:val="006C1E69"/>
    <w:rsid w:val="006C227D"/>
    <w:rsid w:val="006C242F"/>
    <w:rsid w:val="006C2E8F"/>
    <w:rsid w:val="006C388A"/>
    <w:rsid w:val="006C3C8C"/>
    <w:rsid w:val="006C4184"/>
    <w:rsid w:val="006C4370"/>
    <w:rsid w:val="006C45B6"/>
    <w:rsid w:val="006C4E4B"/>
    <w:rsid w:val="006C5452"/>
    <w:rsid w:val="006C5597"/>
    <w:rsid w:val="006C58FC"/>
    <w:rsid w:val="006C636A"/>
    <w:rsid w:val="006C7ADF"/>
    <w:rsid w:val="006C7FD0"/>
    <w:rsid w:val="006D038A"/>
    <w:rsid w:val="006D0520"/>
    <w:rsid w:val="006D0807"/>
    <w:rsid w:val="006D11A0"/>
    <w:rsid w:val="006D179B"/>
    <w:rsid w:val="006D1D41"/>
    <w:rsid w:val="006D1D66"/>
    <w:rsid w:val="006D2990"/>
    <w:rsid w:val="006D2A1E"/>
    <w:rsid w:val="006D2EEE"/>
    <w:rsid w:val="006D3761"/>
    <w:rsid w:val="006D3929"/>
    <w:rsid w:val="006D515B"/>
    <w:rsid w:val="006D52ED"/>
    <w:rsid w:val="006D554B"/>
    <w:rsid w:val="006D56D0"/>
    <w:rsid w:val="006D5A7C"/>
    <w:rsid w:val="006D5C65"/>
    <w:rsid w:val="006D66AA"/>
    <w:rsid w:val="006D695C"/>
    <w:rsid w:val="006D723F"/>
    <w:rsid w:val="006E029D"/>
    <w:rsid w:val="006E0597"/>
    <w:rsid w:val="006E0F8E"/>
    <w:rsid w:val="006E1220"/>
    <w:rsid w:val="006E1A13"/>
    <w:rsid w:val="006E1E9E"/>
    <w:rsid w:val="006E20BE"/>
    <w:rsid w:val="006E21FF"/>
    <w:rsid w:val="006E371F"/>
    <w:rsid w:val="006E4070"/>
    <w:rsid w:val="006E43CA"/>
    <w:rsid w:val="006E4657"/>
    <w:rsid w:val="006E5503"/>
    <w:rsid w:val="006E57D4"/>
    <w:rsid w:val="006E5A9E"/>
    <w:rsid w:val="006E5D5F"/>
    <w:rsid w:val="006E61DD"/>
    <w:rsid w:val="006E62A6"/>
    <w:rsid w:val="006E6359"/>
    <w:rsid w:val="006E6832"/>
    <w:rsid w:val="006E6ECD"/>
    <w:rsid w:val="006E7208"/>
    <w:rsid w:val="006E7D63"/>
    <w:rsid w:val="006F00AD"/>
    <w:rsid w:val="006F04AF"/>
    <w:rsid w:val="006F04E4"/>
    <w:rsid w:val="006F09AC"/>
    <w:rsid w:val="006F0D0F"/>
    <w:rsid w:val="006F2A22"/>
    <w:rsid w:val="006F2A2B"/>
    <w:rsid w:val="006F32DB"/>
    <w:rsid w:val="006F3AA3"/>
    <w:rsid w:val="006F3C8A"/>
    <w:rsid w:val="006F3FBF"/>
    <w:rsid w:val="006F4923"/>
    <w:rsid w:val="006F4D97"/>
    <w:rsid w:val="006F55B5"/>
    <w:rsid w:val="006F5FFD"/>
    <w:rsid w:val="006F617C"/>
    <w:rsid w:val="006F6600"/>
    <w:rsid w:val="006F6803"/>
    <w:rsid w:val="006F6B4B"/>
    <w:rsid w:val="006F7255"/>
    <w:rsid w:val="006F76AD"/>
    <w:rsid w:val="006F7E9C"/>
    <w:rsid w:val="007001FE"/>
    <w:rsid w:val="0070031B"/>
    <w:rsid w:val="00700871"/>
    <w:rsid w:val="00700A68"/>
    <w:rsid w:val="00701444"/>
    <w:rsid w:val="0070190A"/>
    <w:rsid w:val="00701A10"/>
    <w:rsid w:val="00702071"/>
    <w:rsid w:val="00702301"/>
    <w:rsid w:val="0070298B"/>
    <w:rsid w:val="00702B64"/>
    <w:rsid w:val="00702F13"/>
    <w:rsid w:val="0070301E"/>
    <w:rsid w:val="007039FD"/>
    <w:rsid w:val="00703BB2"/>
    <w:rsid w:val="00703D1B"/>
    <w:rsid w:val="00704A8E"/>
    <w:rsid w:val="00705138"/>
    <w:rsid w:val="00705210"/>
    <w:rsid w:val="00706345"/>
    <w:rsid w:val="00706441"/>
    <w:rsid w:val="00707619"/>
    <w:rsid w:val="007076C9"/>
    <w:rsid w:val="00707BB7"/>
    <w:rsid w:val="007101C1"/>
    <w:rsid w:val="007103AD"/>
    <w:rsid w:val="00710EB3"/>
    <w:rsid w:val="007112F5"/>
    <w:rsid w:val="00712133"/>
    <w:rsid w:val="00712D12"/>
    <w:rsid w:val="007133C1"/>
    <w:rsid w:val="00713587"/>
    <w:rsid w:val="00713B95"/>
    <w:rsid w:val="00713F5D"/>
    <w:rsid w:val="0071447C"/>
    <w:rsid w:val="00714852"/>
    <w:rsid w:val="007148E2"/>
    <w:rsid w:val="00714A9B"/>
    <w:rsid w:val="00715193"/>
    <w:rsid w:val="007154D8"/>
    <w:rsid w:val="00715798"/>
    <w:rsid w:val="007162AA"/>
    <w:rsid w:val="007168DE"/>
    <w:rsid w:val="00717677"/>
    <w:rsid w:val="007204DF"/>
    <w:rsid w:val="007205CB"/>
    <w:rsid w:val="00720C18"/>
    <w:rsid w:val="00720F6D"/>
    <w:rsid w:val="00721108"/>
    <w:rsid w:val="007212A3"/>
    <w:rsid w:val="00721416"/>
    <w:rsid w:val="0072166F"/>
    <w:rsid w:val="007219D0"/>
    <w:rsid w:val="007222A8"/>
    <w:rsid w:val="00722355"/>
    <w:rsid w:val="00722538"/>
    <w:rsid w:val="007230D3"/>
    <w:rsid w:val="007233E3"/>
    <w:rsid w:val="00723685"/>
    <w:rsid w:val="00723D0D"/>
    <w:rsid w:val="007243CE"/>
    <w:rsid w:val="007251B3"/>
    <w:rsid w:val="007253D5"/>
    <w:rsid w:val="007265EE"/>
    <w:rsid w:val="00726B62"/>
    <w:rsid w:val="00726F6A"/>
    <w:rsid w:val="00727070"/>
    <w:rsid w:val="00727518"/>
    <w:rsid w:val="00727834"/>
    <w:rsid w:val="007315C8"/>
    <w:rsid w:val="0073202D"/>
    <w:rsid w:val="00732C6F"/>
    <w:rsid w:val="007333AB"/>
    <w:rsid w:val="0073370B"/>
    <w:rsid w:val="007339D0"/>
    <w:rsid w:val="00733B0D"/>
    <w:rsid w:val="00733BEB"/>
    <w:rsid w:val="007351A6"/>
    <w:rsid w:val="00735485"/>
    <w:rsid w:val="00735521"/>
    <w:rsid w:val="007360F0"/>
    <w:rsid w:val="0073634D"/>
    <w:rsid w:val="00737D37"/>
    <w:rsid w:val="00737F86"/>
    <w:rsid w:val="00740369"/>
    <w:rsid w:val="0074072D"/>
    <w:rsid w:val="00740C35"/>
    <w:rsid w:val="00740FBB"/>
    <w:rsid w:val="00741072"/>
    <w:rsid w:val="007410BB"/>
    <w:rsid w:val="00741483"/>
    <w:rsid w:val="00741951"/>
    <w:rsid w:val="00741F35"/>
    <w:rsid w:val="007427D1"/>
    <w:rsid w:val="0074389F"/>
    <w:rsid w:val="00743B5A"/>
    <w:rsid w:val="00743C3F"/>
    <w:rsid w:val="007441C6"/>
    <w:rsid w:val="007441DD"/>
    <w:rsid w:val="007450CB"/>
    <w:rsid w:val="0074581C"/>
    <w:rsid w:val="00745AD2"/>
    <w:rsid w:val="007468DB"/>
    <w:rsid w:val="00746A9A"/>
    <w:rsid w:val="007477B3"/>
    <w:rsid w:val="00747E08"/>
    <w:rsid w:val="0075091F"/>
    <w:rsid w:val="00750BFB"/>
    <w:rsid w:val="007514F3"/>
    <w:rsid w:val="00751775"/>
    <w:rsid w:val="00752026"/>
    <w:rsid w:val="00752369"/>
    <w:rsid w:val="007526C2"/>
    <w:rsid w:val="00752BD6"/>
    <w:rsid w:val="0075340E"/>
    <w:rsid w:val="0075370E"/>
    <w:rsid w:val="00753DFB"/>
    <w:rsid w:val="00753E6D"/>
    <w:rsid w:val="00754364"/>
    <w:rsid w:val="00754585"/>
    <w:rsid w:val="00754860"/>
    <w:rsid w:val="00754E44"/>
    <w:rsid w:val="00754EAD"/>
    <w:rsid w:val="0075504E"/>
    <w:rsid w:val="0075524B"/>
    <w:rsid w:val="007552B6"/>
    <w:rsid w:val="00755556"/>
    <w:rsid w:val="00755ACF"/>
    <w:rsid w:val="007563DA"/>
    <w:rsid w:val="00757F0D"/>
    <w:rsid w:val="0076047A"/>
    <w:rsid w:val="007604D7"/>
    <w:rsid w:val="00760B65"/>
    <w:rsid w:val="00760C66"/>
    <w:rsid w:val="00760E08"/>
    <w:rsid w:val="00761B6D"/>
    <w:rsid w:val="00761F63"/>
    <w:rsid w:val="00762F1B"/>
    <w:rsid w:val="007634F2"/>
    <w:rsid w:val="007636C1"/>
    <w:rsid w:val="00763845"/>
    <w:rsid w:val="00764245"/>
    <w:rsid w:val="00764A62"/>
    <w:rsid w:val="00765ECB"/>
    <w:rsid w:val="00765F57"/>
    <w:rsid w:val="00766065"/>
    <w:rsid w:val="007660F4"/>
    <w:rsid w:val="00766539"/>
    <w:rsid w:val="00766633"/>
    <w:rsid w:val="00766C82"/>
    <w:rsid w:val="00766D1A"/>
    <w:rsid w:val="007677CA"/>
    <w:rsid w:val="0076791E"/>
    <w:rsid w:val="00770AC2"/>
    <w:rsid w:val="00770D90"/>
    <w:rsid w:val="007710DA"/>
    <w:rsid w:val="007712C6"/>
    <w:rsid w:val="00771618"/>
    <w:rsid w:val="00773125"/>
    <w:rsid w:val="00773174"/>
    <w:rsid w:val="00773323"/>
    <w:rsid w:val="007734AA"/>
    <w:rsid w:val="007736C9"/>
    <w:rsid w:val="007739D3"/>
    <w:rsid w:val="007752B6"/>
    <w:rsid w:val="00775A12"/>
    <w:rsid w:val="00775DC4"/>
    <w:rsid w:val="0077620C"/>
    <w:rsid w:val="00776855"/>
    <w:rsid w:val="00776DC1"/>
    <w:rsid w:val="00776EA8"/>
    <w:rsid w:val="007770EA"/>
    <w:rsid w:val="00780370"/>
    <w:rsid w:val="00780942"/>
    <w:rsid w:val="00780B7C"/>
    <w:rsid w:val="007810DF"/>
    <w:rsid w:val="00781F06"/>
    <w:rsid w:val="00781FFC"/>
    <w:rsid w:val="0078334A"/>
    <w:rsid w:val="0078383D"/>
    <w:rsid w:val="00783891"/>
    <w:rsid w:val="00783C70"/>
    <w:rsid w:val="00783EAD"/>
    <w:rsid w:val="0078419D"/>
    <w:rsid w:val="00785144"/>
    <w:rsid w:val="00785179"/>
    <w:rsid w:val="00785501"/>
    <w:rsid w:val="00785A40"/>
    <w:rsid w:val="00785D8C"/>
    <w:rsid w:val="007868F9"/>
    <w:rsid w:val="007874F1"/>
    <w:rsid w:val="00787719"/>
    <w:rsid w:val="00787CC8"/>
    <w:rsid w:val="00787E64"/>
    <w:rsid w:val="00790C0A"/>
    <w:rsid w:val="00791299"/>
    <w:rsid w:val="00791E78"/>
    <w:rsid w:val="00791F85"/>
    <w:rsid w:val="00792028"/>
    <w:rsid w:val="007922A5"/>
    <w:rsid w:val="00792575"/>
    <w:rsid w:val="00792F9E"/>
    <w:rsid w:val="007935DC"/>
    <w:rsid w:val="00794075"/>
    <w:rsid w:val="00794B07"/>
    <w:rsid w:val="0079532D"/>
    <w:rsid w:val="0079552A"/>
    <w:rsid w:val="0079568D"/>
    <w:rsid w:val="007961D5"/>
    <w:rsid w:val="00796ADE"/>
    <w:rsid w:val="00796E7A"/>
    <w:rsid w:val="0079705C"/>
    <w:rsid w:val="007974B7"/>
    <w:rsid w:val="007978F0"/>
    <w:rsid w:val="007A0173"/>
    <w:rsid w:val="007A068B"/>
    <w:rsid w:val="007A087B"/>
    <w:rsid w:val="007A170B"/>
    <w:rsid w:val="007A1AAF"/>
    <w:rsid w:val="007A1DA1"/>
    <w:rsid w:val="007A1DD0"/>
    <w:rsid w:val="007A236B"/>
    <w:rsid w:val="007A2694"/>
    <w:rsid w:val="007A2A4A"/>
    <w:rsid w:val="007A3175"/>
    <w:rsid w:val="007A361C"/>
    <w:rsid w:val="007A3C42"/>
    <w:rsid w:val="007A3EC1"/>
    <w:rsid w:val="007A4122"/>
    <w:rsid w:val="007A43E3"/>
    <w:rsid w:val="007A45D8"/>
    <w:rsid w:val="007A4858"/>
    <w:rsid w:val="007A4905"/>
    <w:rsid w:val="007A4F5C"/>
    <w:rsid w:val="007A4FF3"/>
    <w:rsid w:val="007A51D4"/>
    <w:rsid w:val="007A53CE"/>
    <w:rsid w:val="007A5E9E"/>
    <w:rsid w:val="007A5EA3"/>
    <w:rsid w:val="007A5F9D"/>
    <w:rsid w:val="007A72B1"/>
    <w:rsid w:val="007A7BD4"/>
    <w:rsid w:val="007B09A7"/>
    <w:rsid w:val="007B12C3"/>
    <w:rsid w:val="007B1303"/>
    <w:rsid w:val="007B1888"/>
    <w:rsid w:val="007B19A6"/>
    <w:rsid w:val="007B1C7C"/>
    <w:rsid w:val="007B1EBD"/>
    <w:rsid w:val="007B2403"/>
    <w:rsid w:val="007B250D"/>
    <w:rsid w:val="007B2511"/>
    <w:rsid w:val="007B26E8"/>
    <w:rsid w:val="007B2C1C"/>
    <w:rsid w:val="007B301F"/>
    <w:rsid w:val="007B313D"/>
    <w:rsid w:val="007B32DE"/>
    <w:rsid w:val="007B37C8"/>
    <w:rsid w:val="007B39F5"/>
    <w:rsid w:val="007B418C"/>
    <w:rsid w:val="007B42CE"/>
    <w:rsid w:val="007B451A"/>
    <w:rsid w:val="007B4FEF"/>
    <w:rsid w:val="007B5251"/>
    <w:rsid w:val="007B52FB"/>
    <w:rsid w:val="007B5451"/>
    <w:rsid w:val="007B58B7"/>
    <w:rsid w:val="007B61BB"/>
    <w:rsid w:val="007B648E"/>
    <w:rsid w:val="007B65D3"/>
    <w:rsid w:val="007B67A4"/>
    <w:rsid w:val="007B72B6"/>
    <w:rsid w:val="007B76CD"/>
    <w:rsid w:val="007B77FF"/>
    <w:rsid w:val="007B7865"/>
    <w:rsid w:val="007B7AE9"/>
    <w:rsid w:val="007C0BB8"/>
    <w:rsid w:val="007C0DF0"/>
    <w:rsid w:val="007C0E48"/>
    <w:rsid w:val="007C12F0"/>
    <w:rsid w:val="007C1829"/>
    <w:rsid w:val="007C1EC0"/>
    <w:rsid w:val="007C26FD"/>
    <w:rsid w:val="007C2F2E"/>
    <w:rsid w:val="007C3181"/>
    <w:rsid w:val="007C353D"/>
    <w:rsid w:val="007C43FB"/>
    <w:rsid w:val="007C446F"/>
    <w:rsid w:val="007C5303"/>
    <w:rsid w:val="007C56BC"/>
    <w:rsid w:val="007C57C3"/>
    <w:rsid w:val="007C5EEB"/>
    <w:rsid w:val="007C6C60"/>
    <w:rsid w:val="007C6CD7"/>
    <w:rsid w:val="007D0112"/>
    <w:rsid w:val="007D024C"/>
    <w:rsid w:val="007D097A"/>
    <w:rsid w:val="007D0D67"/>
    <w:rsid w:val="007D1575"/>
    <w:rsid w:val="007D1672"/>
    <w:rsid w:val="007D1BD4"/>
    <w:rsid w:val="007D1CC7"/>
    <w:rsid w:val="007D2805"/>
    <w:rsid w:val="007D2D88"/>
    <w:rsid w:val="007D365A"/>
    <w:rsid w:val="007D3819"/>
    <w:rsid w:val="007D383F"/>
    <w:rsid w:val="007D3E3B"/>
    <w:rsid w:val="007D4557"/>
    <w:rsid w:val="007D5690"/>
    <w:rsid w:val="007D6588"/>
    <w:rsid w:val="007D6982"/>
    <w:rsid w:val="007D6F12"/>
    <w:rsid w:val="007D6FE3"/>
    <w:rsid w:val="007D7574"/>
    <w:rsid w:val="007D77C0"/>
    <w:rsid w:val="007D7DCC"/>
    <w:rsid w:val="007D7F1F"/>
    <w:rsid w:val="007E0030"/>
    <w:rsid w:val="007E02A6"/>
    <w:rsid w:val="007E0559"/>
    <w:rsid w:val="007E0A8F"/>
    <w:rsid w:val="007E0AC2"/>
    <w:rsid w:val="007E0B85"/>
    <w:rsid w:val="007E0C30"/>
    <w:rsid w:val="007E0F1F"/>
    <w:rsid w:val="007E1322"/>
    <w:rsid w:val="007E144B"/>
    <w:rsid w:val="007E1537"/>
    <w:rsid w:val="007E188F"/>
    <w:rsid w:val="007E1BF1"/>
    <w:rsid w:val="007E1BFA"/>
    <w:rsid w:val="007E1C02"/>
    <w:rsid w:val="007E1E39"/>
    <w:rsid w:val="007E1EA9"/>
    <w:rsid w:val="007E22D1"/>
    <w:rsid w:val="007E28CD"/>
    <w:rsid w:val="007E2AAB"/>
    <w:rsid w:val="007E3208"/>
    <w:rsid w:val="007E3882"/>
    <w:rsid w:val="007E4271"/>
    <w:rsid w:val="007E4E04"/>
    <w:rsid w:val="007E52C4"/>
    <w:rsid w:val="007E56F2"/>
    <w:rsid w:val="007E5AFF"/>
    <w:rsid w:val="007E656F"/>
    <w:rsid w:val="007E6C20"/>
    <w:rsid w:val="007E6C8E"/>
    <w:rsid w:val="007E6D41"/>
    <w:rsid w:val="007E767E"/>
    <w:rsid w:val="007E76BA"/>
    <w:rsid w:val="007E776D"/>
    <w:rsid w:val="007E7C82"/>
    <w:rsid w:val="007E7E48"/>
    <w:rsid w:val="007E7FCF"/>
    <w:rsid w:val="007F0708"/>
    <w:rsid w:val="007F1A01"/>
    <w:rsid w:val="007F2020"/>
    <w:rsid w:val="007F21A5"/>
    <w:rsid w:val="007F2B06"/>
    <w:rsid w:val="007F31A2"/>
    <w:rsid w:val="007F3233"/>
    <w:rsid w:val="007F396B"/>
    <w:rsid w:val="007F434B"/>
    <w:rsid w:val="007F4745"/>
    <w:rsid w:val="007F4D6B"/>
    <w:rsid w:val="007F53E3"/>
    <w:rsid w:val="007F66EF"/>
    <w:rsid w:val="007F7312"/>
    <w:rsid w:val="007F7430"/>
    <w:rsid w:val="007F7493"/>
    <w:rsid w:val="007F7B1E"/>
    <w:rsid w:val="008000B8"/>
    <w:rsid w:val="00800C40"/>
    <w:rsid w:val="00800DE4"/>
    <w:rsid w:val="0080110E"/>
    <w:rsid w:val="0080198A"/>
    <w:rsid w:val="00801AEA"/>
    <w:rsid w:val="00801EDB"/>
    <w:rsid w:val="00801EEA"/>
    <w:rsid w:val="0080219A"/>
    <w:rsid w:val="008023DC"/>
    <w:rsid w:val="00803250"/>
    <w:rsid w:val="008032C0"/>
    <w:rsid w:val="008039A9"/>
    <w:rsid w:val="008041BA"/>
    <w:rsid w:val="00804796"/>
    <w:rsid w:val="00804A56"/>
    <w:rsid w:val="00804B85"/>
    <w:rsid w:val="00805584"/>
    <w:rsid w:val="008057CD"/>
    <w:rsid w:val="00805E41"/>
    <w:rsid w:val="008065B4"/>
    <w:rsid w:val="00807484"/>
    <w:rsid w:val="0080764A"/>
    <w:rsid w:val="008076C6"/>
    <w:rsid w:val="00807B17"/>
    <w:rsid w:val="00810DEC"/>
    <w:rsid w:val="00811157"/>
    <w:rsid w:val="00811497"/>
    <w:rsid w:val="0081235A"/>
    <w:rsid w:val="00812F3C"/>
    <w:rsid w:val="00812FD0"/>
    <w:rsid w:val="00812FFB"/>
    <w:rsid w:val="00813904"/>
    <w:rsid w:val="0081390F"/>
    <w:rsid w:val="00814316"/>
    <w:rsid w:val="0081568D"/>
    <w:rsid w:val="00816031"/>
    <w:rsid w:val="00816392"/>
    <w:rsid w:val="0081692B"/>
    <w:rsid w:val="00816D50"/>
    <w:rsid w:val="00816F25"/>
    <w:rsid w:val="00816F2F"/>
    <w:rsid w:val="00817143"/>
    <w:rsid w:val="00817290"/>
    <w:rsid w:val="0081786F"/>
    <w:rsid w:val="0082029E"/>
    <w:rsid w:val="008209EC"/>
    <w:rsid w:val="008210A7"/>
    <w:rsid w:val="0082149A"/>
    <w:rsid w:val="00821817"/>
    <w:rsid w:val="00821B97"/>
    <w:rsid w:val="008231DF"/>
    <w:rsid w:val="00823AD1"/>
    <w:rsid w:val="00823B34"/>
    <w:rsid w:val="00823BC4"/>
    <w:rsid w:val="00824C8C"/>
    <w:rsid w:val="00825273"/>
    <w:rsid w:val="00825732"/>
    <w:rsid w:val="00826BE6"/>
    <w:rsid w:val="00826F20"/>
    <w:rsid w:val="008272BA"/>
    <w:rsid w:val="008274DC"/>
    <w:rsid w:val="00827689"/>
    <w:rsid w:val="00827A25"/>
    <w:rsid w:val="00827D82"/>
    <w:rsid w:val="00830536"/>
    <w:rsid w:val="00830835"/>
    <w:rsid w:val="00830CB8"/>
    <w:rsid w:val="00830CFA"/>
    <w:rsid w:val="00830E70"/>
    <w:rsid w:val="008312EE"/>
    <w:rsid w:val="008315CE"/>
    <w:rsid w:val="00831B1F"/>
    <w:rsid w:val="00832044"/>
    <w:rsid w:val="0083206F"/>
    <w:rsid w:val="0083248C"/>
    <w:rsid w:val="00832963"/>
    <w:rsid w:val="00832B4F"/>
    <w:rsid w:val="00832C2C"/>
    <w:rsid w:val="0083452B"/>
    <w:rsid w:val="008348F4"/>
    <w:rsid w:val="008356C6"/>
    <w:rsid w:val="00835D0C"/>
    <w:rsid w:val="00836540"/>
    <w:rsid w:val="00836899"/>
    <w:rsid w:val="00836A65"/>
    <w:rsid w:val="00837811"/>
    <w:rsid w:val="00837B37"/>
    <w:rsid w:val="00837F79"/>
    <w:rsid w:val="00840422"/>
    <w:rsid w:val="00840E11"/>
    <w:rsid w:val="0084129E"/>
    <w:rsid w:val="008413F4"/>
    <w:rsid w:val="0084164F"/>
    <w:rsid w:val="00841A39"/>
    <w:rsid w:val="00841A51"/>
    <w:rsid w:val="00841ADB"/>
    <w:rsid w:val="00842781"/>
    <w:rsid w:val="00843317"/>
    <w:rsid w:val="00843EDA"/>
    <w:rsid w:val="008443A0"/>
    <w:rsid w:val="008446F3"/>
    <w:rsid w:val="00845074"/>
    <w:rsid w:val="0084549B"/>
    <w:rsid w:val="008454FD"/>
    <w:rsid w:val="0084582B"/>
    <w:rsid w:val="00845C0A"/>
    <w:rsid w:val="00846015"/>
    <w:rsid w:val="0084611B"/>
    <w:rsid w:val="0084673A"/>
    <w:rsid w:val="00846DB7"/>
    <w:rsid w:val="0084714B"/>
    <w:rsid w:val="008476C9"/>
    <w:rsid w:val="008477B5"/>
    <w:rsid w:val="00847ABF"/>
    <w:rsid w:val="00850626"/>
    <w:rsid w:val="008509EF"/>
    <w:rsid w:val="00850B94"/>
    <w:rsid w:val="00850DA9"/>
    <w:rsid w:val="00851CF3"/>
    <w:rsid w:val="00851FAF"/>
    <w:rsid w:val="00852A59"/>
    <w:rsid w:val="00852ADB"/>
    <w:rsid w:val="008530B7"/>
    <w:rsid w:val="008530EA"/>
    <w:rsid w:val="008531CB"/>
    <w:rsid w:val="008532CA"/>
    <w:rsid w:val="00853F30"/>
    <w:rsid w:val="008540BC"/>
    <w:rsid w:val="008547B2"/>
    <w:rsid w:val="00854B1D"/>
    <w:rsid w:val="00854B27"/>
    <w:rsid w:val="00854FE3"/>
    <w:rsid w:val="00855235"/>
    <w:rsid w:val="00855781"/>
    <w:rsid w:val="00855CFB"/>
    <w:rsid w:val="00855F8B"/>
    <w:rsid w:val="00856A1B"/>
    <w:rsid w:val="00856E64"/>
    <w:rsid w:val="0085723B"/>
    <w:rsid w:val="00857534"/>
    <w:rsid w:val="008576A4"/>
    <w:rsid w:val="008576EF"/>
    <w:rsid w:val="008579FE"/>
    <w:rsid w:val="00857A18"/>
    <w:rsid w:val="00857D2F"/>
    <w:rsid w:val="00857E08"/>
    <w:rsid w:val="00857E94"/>
    <w:rsid w:val="008607D3"/>
    <w:rsid w:val="008608C5"/>
    <w:rsid w:val="008609CE"/>
    <w:rsid w:val="00860FA6"/>
    <w:rsid w:val="0086167C"/>
    <w:rsid w:val="008616B3"/>
    <w:rsid w:val="00861C9F"/>
    <w:rsid w:val="00862166"/>
    <w:rsid w:val="0086217C"/>
    <w:rsid w:val="00862211"/>
    <w:rsid w:val="00862D9C"/>
    <w:rsid w:val="008631FD"/>
    <w:rsid w:val="00863531"/>
    <w:rsid w:val="008636B0"/>
    <w:rsid w:val="0086371E"/>
    <w:rsid w:val="0086378D"/>
    <w:rsid w:val="00863820"/>
    <w:rsid w:val="00863F66"/>
    <w:rsid w:val="00864170"/>
    <w:rsid w:val="00864214"/>
    <w:rsid w:val="00864962"/>
    <w:rsid w:val="00864B20"/>
    <w:rsid w:val="00865FBB"/>
    <w:rsid w:val="008666E2"/>
    <w:rsid w:val="00866848"/>
    <w:rsid w:val="00867D27"/>
    <w:rsid w:val="00867E15"/>
    <w:rsid w:val="00867F9C"/>
    <w:rsid w:val="00870764"/>
    <w:rsid w:val="00870791"/>
    <w:rsid w:val="008708EF"/>
    <w:rsid w:val="0087097C"/>
    <w:rsid w:val="008709E2"/>
    <w:rsid w:val="00871576"/>
    <w:rsid w:val="0087193A"/>
    <w:rsid w:val="00872F49"/>
    <w:rsid w:val="00873990"/>
    <w:rsid w:val="00873BEF"/>
    <w:rsid w:val="00873F9E"/>
    <w:rsid w:val="0087405D"/>
    <w:rsid w:val="00874718"/>
    <w:rsid w:val="008748D2"/>
    <w:rsid w:val="00874BED"/>
    <w:rsid w:val="00874E73"/>
    <w:rsid w:val="00875075"/>
    <w:rsid w:val="00875DFA"/>
    <w:rsid w:val="0087699B"/>
    <w:rsid w:val="00876B4C"/>
    <w:rsid w:val="00876DEC"/>
    <w:rsid w:val="00877452"/>
    <w:rsid w:val="00877867"/>
    <w:rsid w:val="008778E5"/>
    <w:rsid w:val="008801D0"/>
    <w:rsid w:val="008802E4"/>
    <w:rsid w:val="00880C8E"/>
    <w:rsid w:val="00881160"/>
    <w:rsid w:val="008817B3"/>
    <w:rsid w:val="0088188C"/>
    <w:rsid w:val="00881EAD"/>
    <w:rsid w:val="00882038"/>
    <w:rsid w:val="0088218B"/>
    <w:rsid w:val="00882445"/>
    <w:rsid w:val="00882483"/>
    <w:rsid w:val="00883EF0"/>
    <w:rsid w:val="008847DB"/>
    <w:rsid w:val="008849FA"/>
    <w:rsid w:val="008850AB"/>
    <w:rsid w:val="008850FD"/>
    <w:rsid w:val="0088520F"/>
    <w:rsid w:val="008856B5"/>
    <w:rsid w:val="0088583A"/>
    <w:rsid w:val="00885986"/>
    <w:rsid w:val="00885A58"/>
    <w:rsid w:val="00885B6B"/>
    <w:rsid w:val="00885DAA"/>
    <w:rsid w:val="00886582"/>
    <w:rsid w:val="00887139"/>
    <w:rsid w:val="00887454"/>
    <w:rsid w:val="00887DED"/>
    <w:rsid w:val="00890454"/>
    <w:rsid w:val="008919A2"/>
    <w:rsid w:val="008939C4"/>
    <w:rsid w:val="00893CB7"/>
    <w:rsid w:val="00893DB3"/>
    <w:rsid w:val="0089439F"/>
    <w:rsid w:val="0089454B"/>
    <w:rsid w:val="00894867"/>
    <w:rsid w:val="00894CFF"/>
    <w:rsid w:val="00894E79"/>
    <w:rsid w:val="00894F02"/>
    <w:rsid w:val="008951BB"/>
    <w:rsid w:val="00895A32"/>
    <w:rsid w:val="008961DB"/>
    <w:rsid w:val="00897074"/>
    <w:rsid w:val="00897286"/>
    <w:rsid w:val="008A07C3"/>
    <w:rsid w:val="008A0B00"/>
    <w:rsid w:val="008A0E1F"/>
    <w:rsid w:val="008A0E4F"/>
    <w:rsid w:val="008A119A"/>
    <w:rsid w:val="008A165C"/>
    <w:rsid w:val="008A1764"/>
    <w:rsid w:val="008A20A7"/>
    <w:rsid w:val="008A24B2"/>
    <w:rsid w:val="008A2DD7"/>
    <w:rsid w:val="008A3C5D"/>
    <w:rsid w:val="008A3E81"/>
    <w:rsid w:val="008A3E8F"/>
    <w:rsid w:val="008A4060"/>
    <w:rsid w:val="008A4235"/>
    <w:rsid w:val="008A43BD"/>
    <w:rsid w:val="008A4BA4"/>
    <w:rsid w:val="008A4D67"/>
    <w:rsid w:val="008A5468"/>
    <w:rsid w:val="008A60BB"/>
    <w:rsid w:val="008A6ACA"/>
    <w:rsid w:val="008A700C"/>
    <w:rsid w:val="008A7207"/>
    <w:rsid w:val="008A7369"/>
    <w:rsid w:val="008A7714"/>
    <w:rsid w:val="008A7735"/>
    <w:rsid w:val="008A7AE1"/>
    <w:rsid w:val="008B025A"/>
    <w:rsid w:val="008B038D"/>
    <w:rsid w:val="008B03E5"/>
    <w:rsid w:val="008B04BD"/>
    <w:rsid w:val="008B0850"/>
    <w:rsid w:val="008B08A6"/>
    <w:rsid w:val="008B0A44"/>
    <w:rsid w:val="008B0C0A"/>
    <w:rsid w:val="008B16CB"/>
    <w:rsid w:val="008B1A54"/>
    <w:rsid w:val="008B1EBE"/>
    <w:rsid w:val="008B2CAA"/>
    <w:rsid w:val="008B37BB"/>
    <w:rsid w:val="008B3BED"/>
    <w:rsid w:val="008B41A6"/>
    <w:rsid w:val="008B466F"/>
    <w:rsid w:val="008B47D4"/>
    <w:rsid w:val="008B5733"/>
    <w:rsid w:val="008B5A1F"/>
    <w:rsid w:val="008B5AF0"/>
    <w:rsid w:val="008B65E3"/>
    <w:rsid w:val="008B6C4B"/>
    <w:rsid w:val="008B742B"/>
    <w:rsid w:val="008B78F3"/>
    <w:rsid w:val="008B79FA"/>
    <w:rsid w:val="008B7B76"/>
    <w:rsid w:val="008B7BE6"/>
    <w:rsid w:val="008C0BBA"/>
    <w:rsid w:val="008C0CB8"/>
    <w:rsid w:val="008C155A"/>
    <w:rsid w:val="008C1947"/>
    <w:rsid w:val="008C1C8D"/>
    <w:rsid w:val="008C2217"/>
    <w:rsid w:val="008C2470"/>
    <w:rsid w:val="008C28D8"/>
    <w:rsid w:val="008C2BC5"/>
    <w:rsid w:val="008C3420"/>
    <w:rsid w:val="008C3850"/>
    <w:rsid w:val="008C4058"/>
    <w:rsid w:val="008C4497"/>
    <w:rsid w:val="008C5229"/>
    <w:rsid w:val="008C52DF"/>
    <w:rsid w:val="008C6893"/>
    <w:rsid w:val="008C6E2D"/>
    <w:rsid w:val="008C6EC3"/>
    <w:rsid w:val="008C7946"/>
    <w:rsid w:val="008C7B0F"/>
    <w:rsid w:val="008D016B"/>
    <w:rsid w:val="008D0735"/>
    <w:rsid w:val="008D0AB5"/>
    <w:rsid w:val="008D0AB7"/>
    <w:rsid w:val="008D1679"/>
    <w:rsid w:val="008D3275"/>
    <w:rsid w:val="008D3AC8"/>
    <w:rsid w:val="008D44AB"/>
    <w:rsid w:val="008D4762"/>
    <w:rsid w:val="008D4A8B"/>
    <w:rsid w:val="008D4AC7"/>
    <w:rsid w:val="008D4D3F"/>
    <w:rsid w:val="008D512E"/>
    <w:rsid w:val="008D5E0C"/>
    <w:rsid w:val="008D64EF"/>
    <w:rsid w:val="008D6713"/>
    <w:rsid w:val="008D6DE1"/>
    <w:rsid w:val="008D723B"/>
    <w:rsid w:val="008D7246"/>
    <w:rsid w:val="008E02A7"/>
    <w:rsid w:val="008E0CF5"/>
    <w:rsid w:val="008E0EDC"/>
    <w:rsid w:val="008E10E3"/>
    <w:rsid w:val="008E1F59"/>
    <w:rsid w:val="008E2D7B"/>
    <w:rsid w:val="008E3039"/>
    <w:rsid w:val="008E330F"/>
    <w:rsid w:val="008E3A88"/>
    <w:rsid w:val="008E3B2E"/>
    <w:rsid w:val="008E3D6F"/>
    <w:rsid w:val="008E439A"/>
    <w:rsid w:val="008E48A3"/>
    <w:rsid w:val="008E4A08"/>
    <w:rsid w:val="008E4EE7"/>
    <w:rsid w:val="008E5031"/>
    <w:rsid w:val="008E543C"/>
    <w:rsid w:val="008E6369"/>
    <w:rsid w:val="008E63B2"/>
    <w:rsid w:val="008E6660"/>
    <w:rsid w:val="008E755F"/>
    <w:rsid w:val="008E7795"/>
    <w:rsid w:val="008E7920"/>
    <w:rsid w:val="008E7CDF"/>
    <w:rsid w:val="008E7EC4"/>
    <w:rsid w:val="008F0296"/>
    <w:rsid w:val="008F14FD"/>
    <w:rsid w:val="008F2662"/>
    <w:rsid w:val="008F283D"/>
    <w:rsid w:val="008F3282"/>
    <w:rsid w:val="008F373E"/>
    <w:rsid w:val="008F3A00"/>
    <w:rsid w:val="008F425C"/>
    <w:rsid w:val="008F4935"/>
    <w:rsid w:val="008F5BBB"/>
    <w:rsid w:val="008F5ECC"/>
    <w:rsid w:val="008F6207"/>
    <w:rsid w:val="008F6C08"/>
    <w:rsid w:val="008F7D20"/>
    <w:rsid w:val="008F7D88"/>
    <w:rsid w:val="008F7E2E"/>
    <w:rsid w:val="0090002A"/>
    <w:rsid w:val="00900D5A"/>
    <w:rsid w:val="009010B5"/>
    <w:rsid w:val="00901CF8"/>
    <w:rsid w:val="00901DED"/>
    <w:rsid w:val="00902037"/>
    <w:rsid w:val="00902131"/>
    <w:rsid w:val="00902410"/>
    <w:rsid w:val="00902825"/>
    <w:rsid w:val="00902B7B"/>
    <w:rsid w:val="009030B0"/>
    <w:rsid w:val="00903262"/>
    <w:rsid w:val="009039FA"/>
    <w:rsid w:val="0090540A"/>
    <w:rsid w:val="009055F4"/>
    <w:rsid w:val="009058CB"/>
    <w:rsid w:val="00906087"/>
    <w:rsid w:val="009103A7"/>
    <w:rsid w:val="0091138E"/>
    <w:rsid w:val="00911BFC"/>
    <w:rsid w:val="0091228F"/>
    <w:rsid w:val="00912549"/>
    <w:rsid w:val="009127CD"/>
    <w:rsid w:val="00912D0F"/>
    <w:rsid w:val="00913692"/>
    <w:rsid w:val="00913C44"/>
    <w:rsid w:val="009148F2"/>
    <w:rsid w:val="00914A95"/>
    <w:rsid w:val="00914DF0"/>
    <w:rsid w:val="009154C1"/>
    <w:rsid w:val="00915768"/>
    <w:rsid w:val="00915975"/>
    <w:rsid w:val="00916BD6"/>
    <w:rsid w:val="00916CB5"/>
    <w:rsid w:val="009173AA"/>
    <w:rsid w:val="009174A8"/>
    <w:rsid w:val="00917ADB"/>
    <w:rsid w:val="00917D58"/>
    <w:rsid w:val="00917E3F"/>
    <w:rsid w:val="0092000E"/>
    <w:rsid w:val="0092052D"/>
    <w:rsid w:val="00920AC3"/>
    <w:rsid w:val="00920E3D"/>
    <w:rsid w:val="00921A15"/>
    <w:rsid w:val="00922586"/>
    <w:rsid w:val="0092260D"/>
    <w:rsid w:val="00923A29"/>
    <w:rsid w:val="00923F67"/>
    <w:rsid w:val="009241DC"/>
    <w:rsid w:val="00924785"/>
    <w:rsid w:val="009249D8"/>
    <w:rsid w:val="00925511"/>
    <w:rsid w:val="00925ABA"/>
    <w:rsid w:val="00925E37"/>
    <w:rsid w:val="00926D3F"/>
    <w:rsid w:val="00926F2C"/>
    <w:rsid w:val="0092718A"/>
    <w:rsid w:val="00927D87"/>
    <w:rsid w:val="0093056D"/>
    <w:rsid w:val="0093096F"/>
    <w:rsid w:val="00930AF1"/>
    <w:rsid w:val="00930DDB"/>
    <w:rsid w:val="0093150E"/>
    <w:rsid w:val="00931C5C"/>
    <w:rsid w:val="00931CC0"/>
    <w:rsid w:val="009326B9"/>
    <w:rsid w:val="00932F11"/>
    <w:rsid w:val="009332E4"/>
    <w:rsid w:val="009334AE"/>
    <w:rsid w:val="009334B8"/>
    <w:rsid w:val="00933BD2"/>
    <w:rsid w:val="00933D17"/>
    <w:rsid w:val="0093442B"/>
    <w:rsid w:val="00935364"/>
    <w:rsid w:val="0093560C"/>
    <w:rsid w:val="0093571C"/>
    <w:rsid w:val="009358D7"/>
    <w:rsid w:val="00936ED1"/>
    <w:rsid w:val="009376C2"/>
    <w:rsid w:val="009403BD"/>
    <w:rsid w:val="0094076A"/>
    <w:rsid w:val="0094076E"/>
    <w:rsid w:val="00941323"/>
    <w:rsid w:val="00941356"/>
    <w:rsid w:val="00941DB9"/>
    <w:rsid w:val="009425B9"/>
    <w:rsid w:val="009428C1"/>
    <w:rsid w:val="009429FE"/>
    <w:rsid w:val="00942C84"/>
    <w:rsid w:val="00942EF5"/>
    <w:rsid w:val="00943336"/>
    <w:rsid w:val="00943815"/>
    <w:rsid w:val="00943833"/>
    <w:rsid w:val="00944373"/>
    <w:rsid w:val="009448AE"/>
    <w:rsid w:val="009448E4"/>
    <w:rsid w:val="00945011"/>
    <w:rsid w:val="00945901"/>
    <w:rsid w:val="009463D1"/>
    <w:rsid w:val="0094640E"/>
    <w:rsid w:val="009474F4"/>
    <w:rsid w:val="009502C6"/>
    <w:rsid w:val="0095097A"/>
    <w:rsid w:val="00950BA6"/>
    <w:rsid w:val="00950F05"/>
    <w:rsid w:val="00951089"/>
    <w:rsid w:val="009513FA"/>
    <w:rsid w:val="00951672"/>
    <w:rsid w:val="00951A99"/>
    <w:rsid w:val="00951B6A"/>
    <w:rsid w:val="00951BA2"/>
    <w:rsid w:val="009529D1"/>
    <w:rsid w:val="00952A8C"/>
    <w:rsid w:val="00953286"/>
    <w:rsid w:val="00953656"/>
    <w:rsid w:val="009536F8"/>
    <w:rsid w:val="009537F8"/>
    <w:rsid w:val="00953CE7"/>
    <w:rsid w:val="009541C4"/>
    <w:rsid w:val="0095442B"/>
    <w:rsid w:val="00954704"/>
    <w:rsid w:val="0095507B"/>
    <w:rsid w:val="009553EA"/>
    <w:rsid w:val="0095568D"/>
    <w:rsid w:val="009556F2"/>
    <w:rsid w:val="00955E32"/>
    <w:rsid w:val="009560D8"/>
    <w:rsid w:val="00956667"/>
    <w:rsid w:val="009573B4"/>
    <w:rsid w:val="00957543"/>
    <w:rsid w:val="00957E11"/>
    <w:rsid w:val="00960FB9"/>
    <w:rsid w:val="00961D98"/>
    <w:rsid w:val="00962137"/>
    <w:rsid w:val="009621B8"/>
    <w:rsid w:val="0096244E"/>
    <w:rsid w:val="00962600"/>
    <w:rsid w:val="0096313F"/>
    <w:rsid w:val="009633F0"/>
    <w:rsid w:val="00963F9C"/>
    <w:rsid w:val="009647C1"/>
    <w:rsid w:val="00964E9D"/>
    <w:rsid w:val="00965425"/>
    <w:rsid w:val="0096545F"/>
    <w:rsid w:val="00965640"/>
    <w:rsid w:val="0096627C"/>
    <w:rsid w:val="00966737"/>
    <w:rsid w:val="00967A8D"/>
    <w:rsid w:val="00971044"/>
    <w:rsid w:val="0097239B"/>
    <w:rsid w:val="00972CC0"/>
    <w:rsid w:val="00974599"/>
    <w:rsid w:val="00974651"/>
    <w:rsid w:val="0097479D"/>
    <w:rsid w:val="009765AA"/>
    <w:rsid w:val="0097667A"/>
    <w:rsid w:val="009770CC"/>
    <w:rsid w:val="009770F7"/>
    <w:rsid w:val="00977EA4"/>
    <w:rsid w:val="00977F85"/>
    <w:rsid w:val="009803FA"/>
    <w:rsid w:val="00980521"/>
    <w:rsid w:val="00980DE8"/>
    <w:rsid w:val="00980F6C"/>
    <w:rsid w:val="00980FAB"/>
    <w:rsid w:val="00981A8D"/>
    <w:rsid w:val="0098212D"/>
    <w:rsid w:val="0098296D"/>
    <w:rsid w:val="00982D99"/>
    <w:rsid w:val="00982D9A"/>
    <w:rsid w:val="009834D0"/>
    <w:rsid w:val="00984323"/>
    <w:rsid w:val="009844AC"/>
    <w:rsid w:val="00984549"/>
    <w:rsid w:val="00984CBF"/>
    <w:rsid w:val="0098508D"/>
    <w:rsid w:val="00985382"/>
    <w:rsid w:val="00985CE7"/>
    <w:rsid w:val="0098603B"/>
    <w:rsid w:val="009868A6"/>
    <w:rsid w:val="00987C52"/>
    <w:rsid w:val="00987CA3"/>
    <w:rsid w:val="00990119"/>
    <w:rsid w:val="0099023D"/>
    <w:rsid w:val="009905CE"/>
    <w:rsid w:val="00990CD2"/>
    <w:rsid w:val="009910F5"/>
    <w:rsid w:val="0099138C"/>
    <w:rsid w:val="0099172E"/>
    <w:rsid w:val="009917A0"/>
    <w:rsid w:val="00992008"/>
    <w:rsid w:val="00992ABB"/>
    <w:rsid w:val="00992EE5"/>
    <w:rsid w:val="0099385D"/>
    <w:rsid w:val="00993C2C"/>
    <w:rsid w:val="00993CA4"/>
    <w:rsid w:val="00994036"/>
    <w:rsid w:val="00995847"/>
    <w:rsid w:val="00995BDE"/>
    <w:rsid w:val="00995C9C"/>
    <w:rsid w:val="00996506"/>
    <w:rsid w:val="00996BCC"/>
    <w:rsid w:val="00997480"/>
    <w:rsid w:val="00997716"/>
    <w:rsid w:val="009978ED"/>
    <w:rsid w:val="00997D95"/>
    <w:rsid w:val="009A0016"/>
    <w:rsid w:val="009A0518"/>
    <w:rsid w:val="009A08A3"/>
    <w:rsid w:val="009A0A31"/>
    <w:rsid w:val="009A1218"/>
    <w:rsid w:val="009A1B25"/>
    <w:rsid w:val="009A1F07"/>
    <w:rsid w:val="009A1FB8"/>
    <w:rsid w:val="009A2243"/>
    <w:rsid w:val="009A22BB"/>
    <w:rsid w:val="009A25FC"/>
    <w:rsid w:val="009A2625"/>
    <w:rsid w:val="009A2835"/>
    <w:rsid w:val="009A2A3F"/>
    <w:rsid w:val="009A2C40"/>
    <w:rsid w:val="009A2F9C"/>
    <w:rsid w:val="009A321A"/>
    <w:rsid w:val="009A3227"/>
    <w:rsid w:val="009A3D0C"/>
    <w:rsid w:val="009A4A91"/>
    <w:rsid w:val="009A5128"/>
    <w:rsid w:val="009A51D0"/>
    <w:rsid w:val="009A548A"/>
    <w:rsid w:val="009A55FD"/>
    <w:rsid w:val="009A58ED"/>
    <w:rsid w:val="009A5F48"/>
    <w:rsid w:val="009A5F93"/>
    <w:rsid w:val="009A61B2"/>
    <w:rsid w:val="009A65B5"/>
    <w:rsid w:val="009A6F03"/>
    <w:rsid w:val="009A7908"/>
    <w:rsid w:val="009A79C9"/>
    <w:rsid w:val="009A7B97"/>
    <w:rsid w:val="009A7BD1"/>
    <w:rsid w:val="009B0AF1"/>
    <w:rsid w:val="009B0AFF"/>
    <w:rsid w:val="009B0DDB"/>
    <w:rsid w:val="009B0FAE"/>
    <w:rsid w:val="009B19E9"/>
    <w:rsid w:val="009B1F96"/>
    <w:rsid w:val="009B2E83"/>
    <w:rsid w:val="009B2F80"/>
    <w:rsid w:val="009B3D3E"/>
    <w:rsid w:val="009B46D7"/>
    <w:rsid w:val="009B47F1"/>
    <w:rsid w:val="009B4D55"/>
    <w:rsid w:val="009B4F85"/>
    <w:rsid w:val="009B4FA6"/>
    <w:rsid w:val="009B5272"/>
    <w:rsid w:val="009B5867"/>
    <w:rsid w:val="009B5F11"/>
    <w:rsid w:val="009B6663"/>
    <w:rsid w:val="009B67C2"/>
    <w:rsid w:val="009B7166"/>
    <w:rsid w:val="009B76AC"/>
    <w:rsid w:val="009B7B77"/>
    <w:rsid w:val="009B7D39"/>
    <w:rsid w:val="009C0C9B"/>
    <w:rsid w:val="009C162E"/>
    <w:rsid w:val="009C1634"/>
    <w:rsid w:val="009C1BE9"/>
    <w:rsid w:val="009C1C29"/>
    <w:rsid w:val="009C2208"/>
    <w:rsid w:val="009C230E"/>
    <w:rsid w:val="009C2951"/>
    <w:rsid w:val="009C2A1C"/>
    <w:rsid w:val="009C2EA2"/>
    <w:rsid w:val="009C346E"/>
    <w:rsid w:val="009C34F9"/>
    <w:rsid w:val="009C35ED"/>
    <w:rsid w:val="009C3C99"/>
    <w:rsid w:val="009C3FBD"/>
    <w:rsid w:val="009C4576"/>
    <w:rsid w:val="009C49A0"/>
    <w:rsid w:val="009C5149"/>
    <w:rsid w:val="009C515D"/>
    <w:rsid w:val="009C544D"/>
    <w:rsid w:val="009C5AF0"/>
    <w:rsid w:val="009C5C47"/>
    <w:rsid w:val="009C5D07"/>
    <w:rsid w:val="009C6CCE"/>
    <w:rsid w:val="009C6DB8"/>
    <w:rsid w:val="009C7E47"/>
    <w:rsid w:val="009D1132"/>
    <w:rsid w:val="009D1193"/>
    <w:rsid w:val="009D1609"/>
    <w:rsid w:val="009D2B81"/>
    <w:rsid w:val="009D30C9"/>
    <w:rsid w:val="009D3106"/>
    <w:rsid w:val="009D32C5"/>
    <w:rsid w:val="009D36CE"/>
    <w:rsid w:val="009D3914"/>
    <w:rsid w:val="009D3B11"/>
    <w:rsid w:val="009D3B4D"/>
    <w:rsid w:val="009D3BF3"/>
    <w:rsid w:val="009D411E"/>
    <w:rsid w:val="009D427A"/>
    <w:rsid w:val="009D4974"/>
    <w:rsid w:val="009D4DCC"/>
    <w:rsid w:val="009D5397"/>
    <w:rsid w:val="009D589D"/>
    <w:rsid w:val="009D5A25"/>
    <w:rsid w:val="009D650A"/>
    <w:rsid w:val="009D6EEC"/>
    <w:rsid w:val="009D6F6F"/>
    <w:rsid w:val="009D743F"/>
    <w:rsid w:val="009D7441"/>
    <w:rsid w:val="009D7BB5"/>
    <w:rsid w:val="009D7C5B"/>
    <w:rsid w:val="009E0263"/>
    <w:rsid w:val="009E08E7"/>
    <w:rsid w:val="009E0910"/>
    <w:rsid w:val="009E11BE"/>
    <w:rsid w:val="009E12B5"/>
    <w:rsid w:val="009E12F7"/>
    <w:rsid w:val="009E12FD"/>
    <w:rsid w:val="009E1561"/>
    <w:rsid w:val="009E15E3"/>
    <w:rsid w:val="009E1FE2"/>
    <w:rsid w:val="009E1FF4"/>
    <w:rsid w:val="009E2CB4"/>
    <w:rsid w:val="009E2EC8"/>
    <w:rsid w:val="009E37E1"/>
    <w:rsid w:val="009E3FB6"/>
    <w:rsid w:val="009E40F6"/>
    <w:rsid w:val="009E42CD"/>
    <w:rsid w:val="009E46DD"/>
    <w:rsid w:val="009E4902"/>
    <w:rsid w:val="009E4AB1"/>
    <w:rsid w:val="009E4F8B"/>
    <w:rsid w:val="009E57F0"/>
    <w:rsid w:val="009E5955"/>
    <w:rsid w:val="009E6946"/>
    <w:rsid w:val="009E6CA7"/>
    <w:rsid w:val="009E75B4"/>
    <w:rsid w:val="009E7663"/>
    <w:rsid w:val="009F033C"/>
    <w:rsid w:val="009F06EF"/>
    <w:rsid w:val="009F0AC7"/>
    <w:rsid w:val="009F0D1D"/>
    <w:rsid w:val="009F14DF"/>
    <w:rsid w:val="009F251C"/>
    <w:rsid w:val="009F25A5"/>
    <w:rsid w:val="009F30A6"/>
    <w:rsid w:val="009F32E1"/>
    <w:rsid w:val="009F337C"/>
    <w:rsid w:val="009F37CD"/>
    <w:rsid w:val="009F3FC1"/>
    <w:rsid w:val="009F4A21"/>
    <w:rsid w:val="009F4CBF"/>
    <w:rsid w:val="009F4F3C"/>
    <w:rsid w:val="009F5B1B"/>
    <w:rsid w:val="009F66A2"/>
    <w:rsid w:val="009F6993"/>
    <w:rsid w:val="009F6A57"/>
    <w:rsid w:val="009F6CED"/>
    <w:rsid w:val="009F724F"/>
    <w:rsid w:val="009F743A"/>
    <w:rsid w:val="009F757E"/>
    <w:rsid w:val="009F79F0"/>
    <w:rsid w:val="009F7EDD"/>
    <w:rsid w:val="009F7FE4"/>
    <w:rsid w:val="00A00593"/>
    <w:rsid w:val="00A0064E"/>
    <w:rsid w:val="00A00810"/>
    <w:rsid w:val="00A00A25"/>
    <w:rsid w:val="00A00A73"/>
    <w:rsid w:val="00A00E0E"/>
    <w:rsid w:val="00A010CB"/>
    <w:rsid w:val="00A01BFD"/>
    <w:rsid w:val="00A02307"/>
    <w:rsid w:val="00A031D1"/>
    <w:rsid w:val="00A0378F"/>
    <w:rsid w:val="00A037DA"/>
    <w:rsid w:val="00A03803"/>
    <w:rsid w:val="00A03F1C"/>
    <w:rsid w:val="00A040DA"/>
    <w:rsid w:val="00A04586"/>
    <w:rsid w:val="00A0472D"/>
    <w:rsid w:val="00A04A94"/>
    <w:rsid w:val="00A050BE"/>
    <w:rsid w:val="00A05788"/>
    <w:rsid w:val="00A061D2"/>
    <w:rsid w:val="00A06475"/>
    <w:rsid w:val="00A0663C"/>
    <w:rsid w:val="00A066CB"/>
    <w:rsid w:val="00A0704D"/>
    <w:rsid w:val="00A070AF"/>
    <w:rsid w:val="00A07608"/>
    <w:rsid w:val="00A077F4"/>
    <w:rsid w:val="00A1009F"/>
    <w:rsid w:val="00A10603"/>
    <w:rsid w:val="00A10D7F"/>
    <w:rsid w:val="00A11191"/>
    <w:rsid w:val="00A112CE"/>
    <w:rsid w:val="00A11D62"/>
    <w:rsid w:val="00A120BF"/>
    <w:rsid w:val="00A122FC"/>
    <w:rsid w:val="00A1249F"/>
    <w:rsid w:val="00A12590"/>
    <w:rsid w:val="00A13281"/>
    <w:rsid w:val="00A132CA"/>
    <w:rsid w:val="00A13836"/>
    <w:rsid w:val="00A140F4"/>
    <w:rsid w:val="00A14845"/>
    <w:rsid w:val="00A14D2B"/>
    <w:rsid w:val="00A150B8"/>
    <w:rsid w:val="00A15378"/>
    <w:rsid w:val="00A160BA"/>
    <w:rsid w:val="00A162F9"/>
    <w:rsid w:val="00A16F00"/>
    <w:rsid w:val="00A17E1C"/>
    <w:rsid w:val="00A17F51"/>
    <w:rsid w:val="00A20066"/>
    <w:rsid w:val="00A2017F"/>
    <w:rsid w:val="00A203DB"/>
    <w:rsid w:val="00A20699"/>
    <w:rsid w:val="00A2072C"/>
    <w:rsid w:val="00A20D1B"/>
    <w:rsid w:val="00A20ED5"/>
    <w:rsid w:val="00A20FD9"/>
    <w:rsid w:val="00A213F5"/>
    <w:rsid w:val="00A21BC3"/>
    <w:rsid w:val="00A21CA1"/>
    <w:rsid w:val="00A222B5"/>
    <w:rsid w:val="00A22AAB"/>
    <w:rsid w:val="00A22B9A"/>
    <w:rsid w:val="00A238AA"/>
    <w:rsid w:val="00A241A9"/>
    <w:rsid w:val="00A24479"/>
    <w:rsid w:val="00A24B53"/>
    <w:rsid w:val="00A24B89"/>
    <w:rsid w:val="00A25199"/>
    <w:rsid w:val="00A251B1"/>
    <w:rsid w:val="00A251BD"/>
    <w:rsid w:val="00A253D0"/>
    <w:rsid w:val="00A256F7"/>
    <w:rsid w:val="00A25E52"/>
    <w:rsid w:val="00A26CAB"/>
    <w:rsid w:val="00A2728C"/>
    <w:rsid w:val="00A3013F"/>
    <w:rsid w:val="00A30F89"/>
    <w:rsid w:val="00A3101D"/>
    <w:rsid w:val="00A316D4"/>
    <w:rsid w:val="00A31F70"/>
    <w:rsid w:val="00A326FD"/>
    <w:rsid w:val="00A3289A"/>
    <w:rsid w:val="00A333FE"/>
    <w:rsid w:val="00A33595"/>
    <w:rsid w:val="00A336F9"/>
    <w:rsid w:val="00A33A7C"/>
    <w:rsid w:val="00A33C9A"/>
    <w:rsid w:val="00A3467B"/>
    <w:rsid w:val="00A36143"/>
    <w:rsid w:val="00A367E1"/>
    <w:rsid w:val="00A36D09"/>
    <w:rsid w:val="00A36D0C"/>
    <w:rsid w:val="00A36E88"/>
    <w:rsid w:val="00A371E4"/>
    <w:rsid w:val="00A4066C"/>
    <w:rsid w:val="00A40A59"/>
    <w:rsid w:val="00A415A5"/>
    <w:rsid w:val="00A41BEB"/>
    <w:rsid w:val="00A41DDA"/>
    <w:rsid w:val="00A42A77"/>
    <w:rsid w:val="00A438C5"/>
    <w:rsid w:val="00A43DCD"/>
    <w:rsid w:val="00A445F8"/>
    <w:rsid w:val="00A4469C"/>
    <w:rsid w:val="00A44A2C"/>
    <w:rsid w:val="00A45208"/>
    <w:rsid w:val="00A45449"/>
    <w:rsid w:val="00A45617"/>
    <w:rsid w:val="00A460CE"/>
    <w:rsid w:val="00A46210"/>
    <w:rsid w:val="00A46442"/>
    <w:rsid w:val="00A46743"/>
    <w:rsid w:val="00A469ED"/>
    <w:rsid w:val="00A46A12"/>
    <w:rsid w:val="00A4705A"/>
    <w:rsid w:val="00A47389"/>
    <w:rsid w:val="00A47718"/>
    <w:rsid w:val="00A47895"/>
    <w:rsid w:val="00A50673"/>
    <w:rsid w:val="00A506C6"/>
    <w:rsid w:val="00A50882"/>
    <w:rsid w:val="00A508E2"/>
    <w:rsid w:val="00A50CA5"/>
    <w:rsid w:val="00A50E53"/>
    <w:rsid w:val="00A51266"/>
    <w:rsid w:val="00A51545"/>
    <w:rsid w:val="00A51F33"/>
    <w:rsid w:val="00A5204C"/>
    <w:rsid w:val="00A53131"/>
    <w:rsid w:val="00A535D3"/>
    <w:rsid w:val="00A537BB"/>
    <w:rsid w:val="00A53AE3"/>
    <w:rsid w:val="00A53DBA"/>
    <w:rsid w:val="00A54C0A"/>
    <w:rsid w:val="00A556C7"/>
    <w:rsid w:val="00A55723"/>
    <w:rsid w:val="00A55C75"/>
    <w:rsid w:val="00A55E89"/>
    <w:rsid w:val="00A55EB7"/>
    <w:rsid w:val="00A561C1"/>
    <w:rsid w:val="00A56377"/>
    <w:rsid w:val="00A574E9"/>
    <w:rsid w:val="00A6029D"/>
    <w:rsid w:val="00A6045E"/>
    <w:rsid w:val="00A61413"/>
    <w:rsid w:val="00A617FD"/>
    <w:rsid w:val="00A61B5D"/>
    <w:rsid w:val="00A62221"/>
    <w:rsid w:val="00A62BF3"/>
    <w:rsid w:val="00A6335D"/>
    <w:rsid w:val="00A6344F"/>
    <w:rsid w:val="00A64316"/>
    <w:rsid w:val="00A64772"/>
    <w:rsid w:val="00A652FE"/>
    <w:rsid w:val="00A65EEE"/>
    <w:rsid w:val="00A66337"/>
    <w:rsid w:val="00A66632"/>
    <w:rsid w:val="00A66816"/>
    <w:rsid w:val="00A67598"/>
    <w:rsid w:val="00A67B8D"/>
    <w:rsid w:val="00A70036"/>
    <w:rsid w:val="00A70672"/>
    <w:rsid w:val="00A72621"/>
    <w:rsid w:val="00A7293B"/>
    <w:rsid w:val="00A72977"/>
    <w:rsid w:val="00A72A9C"/>
    <w:rsid w:val="00A73784"/>
    <w:rsid w:val="00A738C6"/>
    <w:rsid w:val="00A73BE6"/>
    <w:rsid w:val="00A73DE0"/>
    <w:rsid w:val="00A74657"/>
    <w:rsid w:val="00A7488A"/>
    <w:rsid w:val="00A750C3"/>
    <w:rsid w:val="00A7550E"/>
    <w:rsid w:val="00A7579D"/>
    <w:rsid w:val="00A76017"/>
    <w:rsid w:val="00A771E4"/>
    <w:rsid w:val="00A805DF"/>
    <w:rsid w:val="00A806CF"/>
    <w:rsid w:val="00A806D8"/>
    <w:rsid w:val="00A806FF"/>
    <w:rsid w:val="00A8108B"/>
    <w:rsid w:val="00A81ACB"/>
    <w:rsid w:val="00A81B04"/>
    <w:rsid w:val="00A81E5D"/>
    <w:rsid w:val="00A81E6A"/>
    <w:rsid w:val="00A81F4C"/>
    <w:rsid w:val="00A829FD"/>
    <w:rsid w:val="00A82BBC"/>
    <w:rsid w:val="00A82DF2"/>
    <w:rsid w:val="00A83548"/>
    <w:rsid w:val="00A837AA"/>
    <w:rsid w:val="00A83BC1"/>
    <w:rsid w:val="00A84274"/>
    <w:rsid w:val="00A84EED"/>
    <w:rsid w:val="00A84F99"/>
    <w:rsid w:val="00A850D9"/>
    <w:rsid w:val="00A853B8"/>
    <w:rsid w:val="00A8544E"/>
    <w:rsid w:val="00A855DE"/>
    <w:rsid w:val="00A862DF"/>
    <w:rsid w:val="00A863DE"/>
    <w:rsid w:val="00A87066"/>
    <w:rsid w:val="00A87587"/>
    <w:rsid w:val="00A87FCF"/>
    <w:rsid w:val="00A903C2"/>
    <w:rsid w:val="00A9073C"/>
    <w:rsid w:val="00A9073D"/>
    <w:rsid w:val="00A907D1"/>
    <w:rsid w:val="00A91202"/>
    <w:rsid w:val="00A91922"/>
    <w:rsid w:val="00A92B41"/>
    <w:rsid w:val="00A933B7"/>
    <w:rsid w:val="00A9525F"/>
    <w:rsid w:val="00A95296"/>
    <w:rsid w:val="00A956A8"/>
    <w:rsid w:val="00A95761"/>
    <w:rsid w:val="00A95A8E"/>
    <w:rsid w:val="00A965B3"/>
    <w:rsid w:val="00A96932"/>
    <w:rsid w:val="00A96D38"/>
    <w:rsid w:val="00A970DB"/>
    <w:rsid w:val="00A973BD"/>
    <w:rsid w:val="00A97A7F"/>
    <w:rsid w:val="00A97D61"/>
    <w:rsid w:val="00AA09B7"/>
    <w:rsid w:val="00AA0BCB"/>
    <w:rsid w:val="00AA0E86"/>
    <w:rsid w:val="00AA0EA4"/>
    <w:rsid w:val="00AA0FBC"/>
    <w:rsid w:val="00AA13B5"/>
    <w:rsid w:val="00AA1485"/>
    <w:rsid w:val="00AA15B8"/>
    <w:rsid w:val="00AA15C7"/>
    <w:rsid w:val="00AA1802"/>
    <w:rsid w:val="00AA1D1E"/>
    <w:rsid w:val="00AA1D84"/>
    <w:rsid w:val="00AA2013"/>
    <w:rsid w:val="00AA24B6"/>
    <w:rsid w:val="00AA3844"/>
    <w:rsid w:val="00AA3EDA"/>
    <w:rsid w:val="00AA3FBE"/>
    <w:rsid w:val="00AA404D"/>
    <w:rsid w:val="00AA4639"/>
    <w:rsid w:val="00AA5C4E"/>
    <w:rsid w:val="00AA61D3"/>
    <w:rsid w:val="00AA6A74"/>
    <w:rsid w:val="00AA7285"/>
    <w:rsid w:val="00AA7BEC"/>
    <w:rsid w:val="00AB0048"/>
    <w:rsid w:val="00AB0174"/>
    <w:rsid w:val="00AB0546"/>
    <w:rsid w:val="00AB0763"/>
    <w:rsid w:val="00AB168D"/>
    <w:rsid w:val="00AB179F"/>
    <w:rsid w:val="00AB17BD"/>
    <w:rsid w:val="00AB1D2C"/>
    <w:rsid w:val="00AB2CF0"/>
    <w:rsid w:val="00AB36BA"/>
    <w:rsid w:val="00AB4181"/>
    <w:rsid w:val="00AB4B01"/>
    <w:rsid w:val="00AB50C6"/>
    <w:rsid w:val="00AB551F"/>
    <w:rsid w:val="00AB5AF7"/>
    <w:rsid w:val="00AB60D5"/>
    <w:rsid w:val="00AB62D5"/>
    <w:rsid w:val="00AB666F"/>
    <w:rsid w:val="00AB6AB8"/>
    <w:rsid w:val="00AB6BD9"/>
    <w:rsid w:val="00AB717A"/>
    <w:rsid w:val="00AB786C"/>
    <w:rsid w:val="00AB7A40"/>
    <w:rsid w:val="00AB7D88"/>
    <w:rsid w:val="00AC1122"/>
    <w:rsid w:val="00AC1158"/>
    <w:rsid w:val="00AC118B"/>
    <w:rsid w:val="00AC11A0"/>
    <w:rsid w:val="00AC1EFA"/>
    <w:rsid w:val="00AC1F6E"/>
    <w:rsid w:val="00AC2353"/>
    <w:rsid w:val="00AC25C4"/>
    <w:rsid w:val="00AC290D"/>
    <w:rsid w:val="00AC3200"/>
    <w:rsid w:val="00AC3657"/>
    <w:rsid w:val="00AC39A1"/>
    <w:rsid w:val="00AC3A64"/>
    <w:rsid w:val="00AC3AC2"/>
    <w:rsid w:val="00AC457B"/>
    <w:rsid w:val="00AC48A9"/>
    <w:rsid w:val="00AC5071"/>
    <w:rsid w:val="00AC540C"/>
    <w:rsid w:val="00AC571F"/>
    <w:rsid w:val="00AC5DFE"/>
    <w:rsid w:val="00AC5E28"/>
    <w:rsid w:val="00AC6150"/>
    <w:rsid w:val="00AC65F5"/>
    <w:rsid w:val="00AC6640"/>
    <w:rsid w:val="00AC6E00"/>
    <w:rsid w:val="00AC74A4"/>
    <w:rsid w:val="00AD017F"/>
    <w:rsid w:val="00AD042D"/>
    <w:rsid w:val="00AD04EA"/>
    <w:rsid w:val="00AD0A97"/>
    <w:rsid w:val="00AD118D"/>
    <w:rsid w:val="00AD1F1B"/>
    <w:rsid w:val="00AD21BC"/>
    <w:rsid w:val="00AD2634"/>
    <w:rsid w:val="00AD2C7D"/>
    <w:rsid w:val="00AD2D2B"/>
    <w:rsid w:val="00AD3521"/>
    <w:rsid w:val="00AD3627"/>
    <w:rsid w:val="00AD41BC"/>
    <w:rsid w:val="00AD4240"/>
    <w:rsid w:val="00AD4752"/>
    <w:rsid w:val="00AD5067"/>
    <w:rsid w:val="00AD5420"/>
    <w:rsid w:val="00AD6389"/>
    <w:rsid w:val="00AD7433"/>
    <w:rsid w:val="00AD798E"/>
    <w:rsid w:val="00AD7D91"/>
    <w:rsid w:val="00AE040B"/>
    <w:rsid w:val="00AE0642"/>
    <w:rsid w:val="00AE075C"/>
    <w:rsid w:val="00AE07A2"/>
    <w:rsid w:val="00AE0C10"/>
    <w:rsid w:val="00AE0D9F"/>
    <w:rsid w:val="00AE1519"/>
    <w:rsid w:val="00AE1B69"/>
    <w:rsid w:val="00AE2093"/>
    <w:rsid w:val="00AE20C7"/>
    <w:rsid w:val="00AE246A"/>
    <w:rsid w:val="00AE2617"/>
    <w:rsid w:val="00AE2BE7"/>
    <w:rsid w:val="00AE3646"/>
    <w:rsid w:val="00AE3885"/>
    <w:rsid w:val="00AE3AEB"/>
    <w:rsid w:val="00AE4003"/>
    <w:rsid w:val="00AE4556"/>
    <w:rsid w:val="00AE4942"/>
    <w:rsid w:val="00AE4CF7"/>
    <w:rsid w:val="00AE4E37"/>
    <w:rsid w:val="00AE53A2"/>
    <w:rsid w:val="00AE577A"/>
    <w:rsid w:val="00AE596B"/>
    <w:rsid w:val="00AE5B00"/>
    <w:rsid w:val="00AE5D8A"/>
    <w:rsid w:val="00AE6021"/>
    <w:rsid w:val="00AE6955"/>
    <w:rsid w:val="00AE6C1C"/>
    <w:rsid w:val="00AE6EE8"/>
    <w:rsid w:val="00AE7693"/>
    <w:rsid w:val="00AE769E"/>
    <w:rsid w:val="00AE7C05"/>
    <w:rsid w:val="00AF00AF"/>
    <w:rsid w:val="00AF04C7"/>
    <w:rsid w:val="00AF120D"/>
    <w:rsid w:val="00AF22E2"/>
    <w:rsid w:val="00AF2394"/>
    <w:rsid w:val="00AF2C41"/>
    <w:rsid w:val="00AF4B0C"/>
    <w:rsid w:val="00AF5291"/>
    <w:rsid w:val="00AF5658"/>
    <w:rsid w:val="00AF6AB2"/>
    <w:rsid w:val="00AF72E4"/>
    <w:rsid w:val="00AF758A"/>
    <w:rsid w:val="00AF7B0B"/>
    <w:rsid w:val="00AF7E03"/>
    <w:rsid w:val="00B00492"/>
    <w:rsid w:val="00B00752"/>
    <w:rsid w:val="00B00909"/>
    <w:rsid w:val="00B01259"/>
    <w:rsid w:val="00B01322"/>
    <w:rsid w:val="00B01650"/>
    <w:rsid w:val="00B01809"/>
    <w:rsid w:val="00B01CC7"/>
    <w:rsid w:val="00B02832"/>
    <w:rsid w:val="00B02A6E"/>
    <w:rsid w:val="00B02F7E"/>
    <w:rsid w:val="00B033F0"/>
    <w:rsid w:val="00B03466"/>
    <w:rsid w:val="00B0367A"/>
    <w:rsid w:val="00B038AB"/>
    <w:rsid w:val="00B03979"/>
    <w:rsid w:val="00B03A46"/>
    <w:rsid w:val="00B03B34"/>
    <w:rsid w:val="00B03E48"/>
    <w:rsid w:val="00B0439C"/>
    <w:rsid w:val="00B0460F"/>
    <w:rsid w:val="00B04DCB"/>
    <w:rsid w:val="00B04DF8"/>
    <w:rsid w:val="00B04E56"/>
    <w:rsid w:val="00B058E4"/>
    <w:rsid w:val="00B075C6"/>
    <w:rsid w:val="00B07DF8"/>
    <w:rsid w:val="00B1027E"/>
    <w:rsid w:val="00B11F91"/>
    <w:rsid w:val="00B12116"/>
    <w:rsid w:val="00B1226C"/>
    <w:rsid w:val="00B12398"/>
    <w:rsid w:val="00B126A9"/>
    <w:rsid w:val="00B133DC"/>
    <w:rsid w:val="00B13D1A"/>
    <w:rsid w:val="00B14A4A"/>
    <w:rsid w:val="00B15592"/>
    <w:rsid w:val="00B15666"/>
    <w:rsid w:val="00B15778"/>
    <w:rsid w:val="00B157A3"/>
    <w:rsid w:val="00B159CE"/>
    <w:rsid w:val="00B16256"/>
    <w:rsid w:val="00B16739"/>
    <w:rsid w:val="00B17420"/>
    <w:rsid w:val="00B1768B"/>
    <w:rsid w:val="00B2070A"/>
    <w:rsid w:val="00B20C28"/>
    <w:rsid w:val="00B214EE"/>
    <w:rsid w:val="00B221D9"/>
    <w:rsid w:val="00B22600"/>
    <w:rsid w:val="00B2265C"/>
    <w:rsid w:val="00B23300"/>
    <w:rsid w:val="00B23818"/>
    <w:rsid w:val="00B244FB"/>
    <w:rsid w:val="00B24CFA"/>
    <w:rsid w:val="00B25490"/>
    <w:rsid w:val="00B25A41"/>
    <w:rsid w:val="00B25B5D"/>
    <w:rsid w:val="00B25CA7"/>
    <w:rsid w:val="00B26191"/>
    <w:rsid w:val="00B2630D"/>
    <w:rsid w:val="00B2773B"/>
    <w:rsid w:val="00B27742"/>
    <w:rsid w:val="00B306CC"/>
    <w:rsid w:val="00B3087D"/>
    <w:rsid w:val="00B30F67"/>
    <w:rsid w:val="00B31254"/>
    <w:rsid w:val="00B31350"/>
    <w:rsid w:val="00B31425"/>
    <w:rsid w:val="00B31E6C"/>
    <w:rsid w:val="00B3203F"/>
    <w:rsid w:val="00B32381"/>
    <w:rsid w:val="00B3266E"/>
    <w:rsid w:val="00B328D1"/>
    <w:rsid w:val="00B32A3B"/>
    <w:rsid w:val="00B32B64"/>
    <w:rsid w:val="00B32BB4"/>
    <w:rsid w:val="00B32E08"/>
    <w:rsid w:val="00B32E5E"/>
    <w:rsid w:val="00B33D15"/>
    <w:rsid w:val="00B3496F"/>
    <w:rsid w:val="00B35115"/>
    <w:rsid w:val="00B35304"/>
    <w:rsid w:val="00B356DE"/>
    <w:rsid w:val="00B35817"/>
    <w:rsid w:val="00B35900"/>
    <w:rsid w:val="00B35DC7"/>
    <w:rsid w:val="00B361E6"/>
    <w:rsid w:val="00B363BE"/>
    <w:rsid w:val="00B369B0"/>
    <w:rsid w:val="00B37023"/>
    <w:rsid w:val="00B37414"/>
    <w:rsid w:val="00B37839"/>
    <w:rsid w:val="00B379C3"/>
    <w:rsid w:val="00B37A61"/>
    <w:rsid w:val="00B37C04"/>
    <w:rsid w:val="00B37D96"/>
    <w:rsid w:val="00B37EBE"/>
    <w:rsid w:val="00B4020C"/>
    <w:rsid w:val="00B4088C"/>
    <w:rsid w:val="00B411B5"/>
    <w:rsid w:val="00B41942"/>
    <w:rsid w:val="00B41BC1"/>
    <w:rsid w:val="00B420F9"/>
    <w:rsid w:val="00B42591"/>
    <w:rsid w:val="00B429E8"/>
    <w:rsid w:val="00B42B2A"/>
    <w:rsid w:val="00B434AF"/>
    <w:rsid w:val="00B438AB"/>
    <w:rsid w:val="00B44687"/>
    <w:rsid w:val="00B44AB2"/>
    <w:rsid w:val="00B44D2D"/>
    <w:rsid w:val="00B45C4B"/>
    <w:rsid w:val="00B4643F"/>
    <w:rsid w:val="00B466D2"/>
    <w:rsid w:val="00B467D0"/>
    <w:rsid w:val="00B46972"/>
    <w:rsid w:val="00B46CD5"/>
    <w:rsid w:val="00B4727B"/>
    <w:rsid w:val="00B47F5D"/>
    <w:rsid w:val="00B500DC"/>
    <w:rsid w:val="00B507B2"/>
    <w:rsid w:val="00B509FD"/>
    <w:rsid w:val="00B51209"/>
    <w:rsid w:val="00B51551"/>
    <w:rsid w:val="00B51A2A"/>
    <w:rsid w:val="00B51BA8"/>
    <w:rsid w:val="00B51D41"/>
    <w:rsid w:val="00B5205C"/>
    <w:rsid w:val="00B5367E"/>
    <w:rsid w:val="00B54480"/>
    <w:rsid w:val="00B54A96"/>
    <w:rsid w:val="00B55F55"/>
    <w:rsid w:val="00B56436"/>
    <w:rsid w:val="00B5659D"/>
    <w:rsid w:val="00B565CE"/>
    <w:rsid w:val="00B56880"/>
    <w:rsid w:val="00B56BB8"/>
    <w:rsid w:val="00B56E18"/>
    <w:rsid w:val="00B60742"/>
    <w:rsid w:val="00B611AE"/>
    <w:rsid w:val="00B61276"/>
    <w:rsid w:val="00B621D0"/>
    <w:rsid w:val="00B63A88"/>
    <w:rsid w:val="00B63D3A"/>
    <w:rsid w:val="00B6406E"/>
    <w:rsid w:val="00B64096"/>
    <w:rsid w:val="00B640F9"/>
    <w:rsid w:val="00B64EA9"/>
    <w:rsid w:val="00B65103"/>
    <w:rsid w:val="00B6520F"/>
    <w:rsid w:val="00B6596B"/>
    <w:rsid w:val="00B65D6E"/>
    <w:rsid w:val="00B66127"/>
    <w:rsid w:val="00B6620A"/>
    <w:rsid w:val="00B666C2"/>
    <w:rsid w:val="00B669C0"/>
    <w:rsid w:val="00B676D5"/>
    <w:rsid w:val="00B67830"/>
    <w:rsid w:val="00B67D3D"/>
    <w:rsid w:val="00B70ABE"/>
    <w:rsid w:val="00B710A4"/>
    <w:rsid w:val="00B7169E"/>
    <w:rsid w:val="00B717E5"/>
    <w:rsid w:val="00B719D8"/>
    <w:rsid w:val="00B71AB5"/>
    <w:rsid w:val="00B72E8B"/>
    <w:rsid w:val="00B733D7"/>
    <w:rsid w:val="00B739A9"/>
    <w:rsid w:val="00B73CE0"/>
    <w:rsid w:val="00B73FCA"/>
    <w:rsid w:val="00B74E0C"/>
    <w:rsid w:val="00B74F42"/>
    <w:rsid w:val="00B753C5"/>
    <w:rsid w:val="00B75530"/>
    <w:rsid w:val="00B77100"/>
    <w:rsid w:val="00B8085E"/>
    <w:rsid w:val="00B80A3C"/>
    <w:rsid w:val="00B80E6C"/>
    <w:rsid w:val="00B81BA0"/>
    <w:rsid w:val="00B822CA"/>
    <w:rsid w:val="00B82972"/>
    <w:rsid w:val="00B82ABF"/>
    <w:rsid w:val="00B82FC4"/>
    <w:rsid w:val="00B83140"/>
    <w:rsid w:val="00B833D1"/>
    <w:rsid w:val="00B837BC"/>
    <w:rsid w:val="00B83BC1"/>
    <w:rsid w:val="00B83D12"/>
    <w:rsid w:val="00B84153"/>
    <w:rsid w:val="00B84257"/>
    <w:rsid w:val="00B843FF"/>
    <w:rsid w:val="00B8451A"/>
    <w:rsid w:val="00B84B97"/>
    <w:rsid w:val="00B85450"/>
    <w:rsid w:val="00B854DA"/>
    <w:rsid w:val="00B85867"/>
    <w:rsid w:val="00B8639A"/>
    <w:rsid w:val="00B87277"/>
    <w:rsid w:val="00B8728C"/>
    <w:rsid w:val="00B87720"/>
    <w:rsid w:val="00B90286"/>
    <w:rsid w:val="00B90649"/>
    <w:rsid w:val="00B90745"/>
    <w:rsid w:val="00B908E8"/>
    <w:rsid w:val="00B90AC1"/>
    <w:rsid w:val="00B90FD3"/>
    <w:rsid w:val="00B9123D"/>
    <w:rsid w:val="00B927C7"/>
    <w:rsid w:val="00B93925"/>
    <w:rsid w:val="00B93CFF"/>
    <w:rsid w:val="00B93D3A"/>
    <w:rsid w:val="00B946C0"/>
    <w:rsid w:val="00B94776"/>
    <w:rsid w:val="00B94CC4"/>
    <w:rsid w:val="00B94E37"/>
    <w:rsid w:val="00B953CB"/>
    <w:rsid w:val="00B9555B"/>
    <w:rsid w:val="00B956C6"/>
    <w:rsid w:val="00B96467"/>
    <w:rsid w:val="00B96FC6"/>
    <w:rsid w:val="00B97CF5"/>
    <w:rsid w:val="00BA0024"/>
    <w:rsid w:val="00BA082F"/>
    <w:rsid w:val="00BA0984"/>
    <w:rsid w:val="00BA0993"/>
    <w:rsid w:val="00BA0B6D"/>
    <w:rsid w:val="00BA0F6E"/>
    <w:rsid w:val="00BA1015"/>
    <w:rsid w:val="00BA1E51"/>
    <w:rsid w:val="00BA2AD5"/>
    <w:rsid w:val="00BA2CC1"/>
    <w:rsid w:val="00BA2F0B"/>
    <w:rsid w:val="00BA320E"/>
    <w:rsid w:val="00BA368F"/>
    <w:rsid w:val="00BA3B89"/>
    <w:rsid w:val="00BA47C8"/>
    <w:rsid w:val="00BA4D9D"/>
    <w:rsid w:val="00BA4DFF"/>
    <w:rsid w:val="00BA4E0F"/>
    <w:rsid w:val="00BA54E4"/>
    <w:rsid w:val="00BA559C"/>
    <w:rsid w:val="00BA5615"/>
    <w:rsid w:val="00BA5DEB"/>
    <w:rsid w:val="00BA65CE"/>
    <w:rsid w:val="00BA68F2"/>
    <w:rsid w:val="00BA6C04"/>
    <w:rsid w:val="00BA6D04"/>
    <w:rsid w:val="00BA6D1B"/>
    <w:rsid w:val="00BA78BE"/>
    <w:rsid w:val="00BA78C9"/>
    <w:rsid w:val="00BA7939"/>
    <w:rsid w:val="00BB022D"/>
    <w:rsid w:val="00BB0447"/>
    <w:rsid w:val="00BB07F9"/>
    <w:rsid w:val="00BB08C6"/>
    <w:rsid w:val="00BB12E9"/>
    <w:rsid w:val="00BB1994"/>
    <w:rsid w:val="00BB23BF"/>
    <w:rsid w:val="00BB2BFF"/>
    <w:rsid w:val="00BB2CEB"/>
    <w:rsid w:val="00BB2D65"/>
    <w:rsid w:val="00BB46BB"/>
    <w:rsid w:val="00BB47A3"/>
    <w:rsid w:val="00BB4823"/>
    <w:rsid w:val="00BB48D2"/>
    <w:rsid w:val="00BB4E4F"/>
    <w:rsid w:val="00BB521D"/>
    <w:rsid w:val="00BB53E0"/>
    <w:rsid w:val="00BB560A"/>
    <w:rsid w:val="00BB5763"/>
    <w:rsid w:val="00BB5D7D"/>
    <w:rsid w:val="00BB5F11"/>
    <w:rsid w:val="00BB6673"/>
    <w:rsid w:val="00BB69D6"/>
    <w:rsid w:val="00BB7B52"/>
    <w:rsid w:val="00BC03C4"/>
    <w:rsid w:val="00BC0B3B"/>
    <w:rsid w:val="00BC0E72"/>
    <w:rsid w:val="00BC1A59"/>
    <w:rsid w:val="00BC1F33"/>
    <w:rsid w:val="00BC1F8C"/>
    <w:rsid w:val="00BC2595"/>
    <w:rsid w:val="00BC288D"/>
    <w:rsid w:val="00BC2BB0"/>
    <w:rsid w:val="00BC2E41"/>
    <w:rsid w:val="00BC3496"/>
    <w:rsid w:val="00BC364D"/>
    <w:rsid w:val="00BC3A48"/>
    <w:rsid w:val="00BC41B4"/>
    <w:rsid w:val="00BC44AE"/>
    <w:rsid w:val="00BC522F"/>
    <w:rsid w:val="00BC5625"/>
    <w:rsid w:val="00BC6277"/>
    <w:rsid w:val="00BC6577"/>
    <w:rsid w:val="00BC67F5"/>
    <w:rsid w:val="00BC6915"/>
    <w:rsid w:val="00BC7013"/>
    <w:rsid w:val="00BC7465"/>
    <w:rsid w:val="00BC7551"/>
    <w:rsid w:val="00BD0298"/>
    <w:rsid w:val="00BD0E00"/>
    <w:rsid w:val="00BD13E4"/>
    <w:rsid w:val="00BD1960"/>
    <w:rsid w:val="00BD255B"/>
    <w:rsid w:val="00BD262B"/>
    <w:rsid w:val="00BD2F13"/>
    <w:rsid w:val="00BD37AD"/>
    <w:rsid w:val="00BD39F0"/>
    <w:rsid w:val="00BD3D52"/>
    <w:rsid w:val="00BD3DB7"/>
    <w:rsid w:val="00BD3E24"/>
    <w:rsid w:val="00BD40FB"/>
    <w:rsid w:val="00BD4DF1"/>
    <w:rsid w:val="00BD520A"/>
    <w:rsid w:val="00BD5FC4"/>
    <w:rsid w:val="00BD625F"/>
    <w:rsid w:val="00BD68CD"/>
    <w:rsid w:val="00BD79A9"/>
    <w:rsid w:val="00BD7B3C"/>
    <w:rsid w:val="00BE0E3F"/>
    <w:rsid w:val="00BE1049"/>
    <w:rsid w:val="00BE138E"/>
    <w:rsid w:val="00BE1577"/>
    <w:rsid w:val="00BE15EA"/>
    <w:rsid w:val="00BE172E"/>
    <w:rsid w:val="00BE1D42"/>
    <w:rsid w:val="00BE1E7C"/>
    <w:rsid w:val="00BE23F5"/>
    <w:rsid w:val="00BE264E"/>
    <w:rsid w:val="00BE2A3D"/>
    <w:rsid w:val="00BE2E6A"/>
    <w:rsid w:val="00BE2EFF"/>
    <w:rsid w:val="00BE3CF7"/>
    <w:rsid w:val="00BE4354"/>
    <w:rsid w:val="00BE4640"/>
    <w:rsid w:val="00BE471E"/>
    <w:rsid w:val="00BE4AA9"/>
    <w:rsid w:val="00BE4B27"/>
    <w:rsid w:val="00BE5AE7"/>
    <w:rsid w:val="00BE5F67"/>
    <w:rsid w:val="00BE60BB"/>
    <w:rsid w:val="00BE6117"/>
    <w:rsid w:val="00BE65AA"/>
    <w:rsid w:val="00BE694D"/>
    <w:rsid w:val="00BE6A2B"/>
    <w:rsid w:val="00BE6BE3"/>
    <w:rsid w:val="00BE70F0"/>
    <w:rsid w:val="00BE744C"/>
    <w:rsid w:val="00BE77CB"/>
    <w:rsid w:val="00BE781F"/>
    <w:rsid w:val="00BE794C"/>
    <w:rsid w:val="00BE7BAF"/>
    <w:rsid w:val="00BF0370"/>
    <w:rsid w:val="00BF0A99"/>
    <w:rsid w:val="00BF0A9D"/>
    <w:rsid w:val="00BF1021"/>
    <w:rsid w:val="00BF11BB"/>
    <w:rsid w:val="00BF1B0F"/>
    <w:rsid w:val="00BF1FDF"/>
    <w:rsid w:val="00BF345B"/>
    <w:rsid w:val="00BF39A8"/>
    <w:rsid w:val="00BF3ADC"/>
    <w:rsid w:val="00BF465F"/>
    <w:rsid w:val="00BF4F44"/>
    <w:rsid w:val="00BF5826"/>
    <w:rsid w:val="00BF5883"/>
    <w:rsid w:val="00BF689E"/>
    <w:rsid w:val="00BF6ED8"/>
    <w:rsid w:val="00BF6F8F"/>
    <w:rsid w:val="00BF721B"/>
    <w:rsid w:val="00BF740F"/>
    <w:rsid w:val="00BF7500"/>
    <w:rsid w:val="00C002AF"/>
    <w:rsid w:val="00C00586"/>
    <w:rsid w:val="00C00A7A"/>
    <w:rsid w:val="00C00C32"/>
    <w:rsid w:val="00C00C92"/>
    <w:rsid w:val="00C00F4D"/>
    <w:rsid w:val="00C013C4"/>
    <w:rsid w:val="00C0194F"/>
    <w:rsid w:val="00C023B2"/>
    <w:rsid w:val="00C026E1"/>
    <w:rsid w:val="00C03198"/>
    <w:rsid w:val="00C03238"/>
    <w:rsid w:val="00C036DE"/>
    <w:rsid w:val="00C03997"/>
    <w:rsid w:val="00C0434A"/>
    <w:rsid w:val="00C043E1"/>
    <w:rsid w:val="00C04490"/>
    <w:rsid w:val="00C044DE"/>
    <w:rsid w:val="00C04598"/>
    <w:rsid w:val="00C047B5"/>
    <w:rsid w:val="00C049EF"/>
    <w:rsid w:val="00C052BB"/>
    <w:rsid w:val="00C056F1"/>
    <w:rsid w:val="00C05874"/>
    <w:rsid w:val="00C05B85"/>
    <w:rsid w:val="00C0601A"/>
    <w:rsid w:val="00C065C8"/>
    <w:rsid w:val="00C066F8"/>
    <w:rsid w:val="00C06E1D"/>
    <w:rsid w:val="00C06F92"/>
    <w:rsid w:val="00C0777D"/>
    <w:rsid w:val="00C07C16"/>
    <w:rsid w:val="00C10E4F"/>
    <w:rsid w:val="00C10EA7"/>
    <w:rsid w:val="00C11066"/>
    <w:rsid w:val="00C113B1"/>
    <w:rsid w:val="00C116BD"/>
    <w:rsid w:val="00C11ABE"/>
    <w:rsid w:val="00C12A32"/>
    <w:rsid w:val="00C13699"/>
    <w:rsid w:val="00C1372C"/>
    <w:rsid w:val="00C13838"/>
    <w:rsid w:val="00C14B46"/>
    <w:rsid w:val="00C152A6"/>
    <w:rsid w:val="00C1572B"/>
    <w:rsid w:val="00C15781"/>
    <w:rsid w:val="00C15B1C"/>
    <w:rsid w:val="00C16D11"/>
    <w:rsid w:val="00C16F38"/>
    <w:rsid w:val="00C17437"/>
    <w:rsid w:val="00C174FD"/>
    <w:rsid w:val="00C17598"/>
    <w:rsid w:val="00C17B2B"/>
    <w:rsid w:val="00C17C84"/>
    <w:rsid w:val="00C211F0"/>
    <w:rsid w:val="00C214E6"/>
    <w:rsid w:val="00C216FD"/>
    <w:rsid w:val="00C21DD5"/>
    <w:rsid w:val="00C22304"/>
    <w:rsid w:val="00C2239E"/>
    <w:rsid w:val="00C232A0"/>
    <w:rsid w:val="00C23472"/>
    <w:rsid w:val="00C23A98"/>
    <w:rsid w:val="00C2470D"/>
    <w:rsid w:val="00C248A7"/>
    <w:rsid w:val="00C24F41"/>
    <w:rsid w:val="00C2507E"/>
    <w:rsid w:val="00C25B37"/>
    <w:rsid w:val="00C26783"/>
    <w:rsid w:val="00C26BCB"/>
    <w:rsid w:val="00C26E3C"/>
    <w:rsid w:val="00C27142"/>
    <w:rsid w:val="00C27508"/>
    <w:rsid w:val="00C27F91"/>
    <w:rsid w:val="00C30A9B"/>
    <w:rsid w:val="00C30CBB"/>
    <w:rsid w:val="00C30E2E"/>
    <w:rsid w:val="00C31415"/>
    <w:rsid w:val="00C3166D"/>
    <w:rsid w:val="00C32AC3"/>
    <w:rsid w:val="00C32E85"/>
    <w:rsid w:val="00C349D0"/>
    <w:rsid w:val="00C35167"/>
    <w:rsid w:val="00C36968"/>
    <w:rsid w:val="00C3704D"/>
    <w:rsid w:val="00C37175"/>
    <w:rsid w:val="00C376F6"/>
    <w:rsid w:val="00C37A85"/>
    <w:rsid w:val="00C37C90"/>
    <w:rsid w:val="00C40075"/>
    <w:rsid w:val="00C402D4"/>
    <w:rsid w:val="00C40738"/>
    <w:rsid w:val="00C40B93"/>
    <w:rsid w:val="00C40BE5"/>
    <w:rsid w:val="00C40DF8"/>
    <w:rsid w:val="00C41355"/>
    <w:rsid w:val="00C41A1F"/>
    <w:rsid w:val="00C428C2"/>
    <w:rsid w:val="00C42D0E"/>
    <w:rsid w:val="00C42D33"/>
    <w:rsid w:val="00C43180"/>
    <w:rsid w:val="00C44581"/>
    <w:rsid w:val="00C445FC"/>
    <w:rsid w:val="00C4562E"/>
    <w:rsid w:val="00C47677"/>
    <w:rsid w:val="00C47B0A"/>
    <w:rsid w:val="00C50104"/>
    <w:rsid w:val="00C5034A"/>
    <w:rsid w:val="00C505D1"/>
    <w:rsid w:val="00C51116"/>
    <w:rsid w:val="00C5119F"/>
    <w:rsid w:val="00C5143A"/>
    <w:rsid w:val="00C5148B"/>
    <w:rsid w:val="00C517AA"/>
    <w:rsid w:val="00C5187C"/>
    <w:rsid w:val="00C519F6"/>
    <w:rsid w:val="00C527C9"/>
    <w:rsid w:val="00C52E3E"/>
    <w:rsid w:val="00C5385F"/>
    <w:rsid w:val="00C540AE"/>
    <w:rsid w:val="00C54550"/>
    <w:rsid w:val="00C54E60"/>
    <w:rsid w:val="00C554F6"/>
    <w:rsid w:val="00C55510"/>
    <w:rsid w:val="00C5558D"/>
    <w:rsid w:val="00C557D1"/>
    <w:rsid w:val="00C5596B"/>
    <w:rsid w:val="00C560B2"/>
    <w:rsid w:val="00C5729A"/>
    <w:rsid w:val="00C5734A"/>
    <w:rsid w:val="00C57AAF"/>
    <w:rsid w:val="00C57B32"/>
    <w:rsid w:val="00C57EA3"/>
    <w:rsid w:val="00C6001C"/>
    <w:rsid w:val="00C60076"/>
    <w:rsid w:val="00C60756"/>
    <w:rsid w:val="00C61167"/>
    <w:rsid w:val="00C612B3"/>
    <w:rsid w:val="00C62129"/>
    <w:rsid w:val="00C62164"/>
    <w:rsid w:val="00C632D3"/>
    <w:rsid w:val="00C6363E"/>
    <w:rsid w:val="00C637B2"/>
    <w:rsid w:val="00C641E2"/>
    <w:rsid w:val="00C6488D"/>
    <w:rsid w:val="00C64C0D"/>
    <w:rsid w:val="00C65543"/>
    <w:rsid w:val="00C65B1C"/>
    <w:rsid w:val="00C65CEA"/>
    <w:rsid w:val="00C664BF"/>
    <w:rsid w:val="00C66A4E"/>
    <w:rsid w:val="00C66AF4"/>
    <w:rsid w:val="00C67153"/>
    <w:rsid w:val="00C675FB"/>
    <w:rsid w:val="00C67C50"/>
    <w:rsid w:val="00C67E73"/>
    <w:rsid w:val="00C7019C"/>
    <w:rsid w:val="00C702F9"/>
    <w:rsid w:val="00C70489"/>
    <w:rsid w:val="00C70559"/>
    <w:rsid w:val="00C7098E"/>
    <w:rsid w:val="00C71617"/>
    <w:rsid w:val="00C72D51"/>
    <w:rsid w:val="00C72E1C"/>
    <w:rsid w:val="00C74642"/>
    <w:rsid w:val="00C74682"/>
    <w:rsid w:val="00C749B3"/>
    <w:rsid w:val="00C75454"/>
    <w:rsid w:val="00C75546"/>
    <w:rsid w:val="00C7556A"/>
    <w:rsid w:val="00C75BC7"/>
    <w:rsid w:val="00C75C54"/>
    <w:rsid w:val="00C75C9C"/>
    <w:rsid w:val="00C766DE"/>
    <w:rsid w:val="00C772DF"/>
    <w:rsid w:val="00C7739E"/>
    <w:rsid w:val="00C773D6"/>
    <w:rsid w:val="00C77409"/>
    <w:rsid w:val="00C77620"/>
    <w:rsid w:val="00C77C57"/>
    <w:rsid w:val="00C80636"/>
    <w:rsid w:val="00C80870"/>
    <w:rsid w:val="00C8095B"/>
    <w:rsid w:val="00C81119"/>
    <w:rsid w:val="00C812BC"/>
    <w:rsid w:val="00C82476"/>
    <w:rsid w:val="00C82EF5"/>
    <w:rsid w:val="00C831AF"/>
    <w:rsid w:val="00C832F7"/>
    <w:rsid w:val="00C833A5"/>
    <w:rsid w:val="00C8398B"/>
    <w:rsid w:val="00C8456E"/>
    <w:rsid w:val="00C84DD1"/>
    <w:rsid w:val="00C85885"/>
    <w:rsid w:val="00C85B39"/>
    <w:rsid w:val="00C867D6"/>
    <w:rsid w:val="00C86A9B"/>
    <w:rsid w:val="00C86DB6"/>
    <w:rsid w:val="00C87B53"/>
    <w:rsid w:val="00C90B64"/>
    <w:rsid w:val="00C91483"/>
    <w:rsid w:val="00C9177A"/>
    <w:rsid w:val="00C924AB"/>
    <w:rsid w:val="00C92CC8"/>
    <w:rsid w:val="00C93199"/>
    <w:rsid w:val="00C9453D"/>
    <w:rsid w:val="00C9456B"/>
    <w:rsid w:val="00C94CD7"/>
    <w:rsid w:val="00C95D44"/>
    <w:rsid w:val="00C966E2"/>
    <w:rsid w:val="00C9725B"/>
    <w:rsid w:val="00C97437"/>
    <w:rsid w:val="00C97667"/>
    <w:rsid w:val="00C97A09"/>
    <w:rsid w:val="00C97DF8"/>
    <w:rsid w:val="00CA0247"/>
    <w:rsid w:val="00CA0525"/>
    <w:rsid w:val="00CA0CA5"/>
    <w:rsid w:val="00CA0CDF"/>
    <w:rsid w:val="00CA11CE"/>
    <w:rsid w:val="00CA143B"/>
    <w:rsid w:val="00CA1589"/>
    <w:rsid w:val="00CA1DC6"/>
    <w:rsid w:val="00CA1E17"/>
    <w:rsid w:val="00CA2AB4"/>
    <w:rsid w:val="00CA2D80"/>
    <w:rsid w:val="00CA39AA"/>
    <w:rsid w:val="00CA3E36"/>
    <w:rsid w:val="00CA3F5D"/>
    <w:rsid w:val="00CA41E5"/>
    <w:rsid w:val="00CA4411"/>
    <w:rsid w:val="00CA50B1"/>
    <w:rsid w:val="00CA51E5"/>
    <w:rsid w:val="00CA7188"/>
    <w:rsid w:val="00CB0C3D"/>
    <w:rsid w:val="00CB0EB6"/>
    <w:rsid w:val="00CB1106"/>
    <w:rsid w:val="00CB1394"/>
    <w:rsid w:val="00CB13F9"/>
    <w:rsid w:val="00CB17AF"/>
    <w:rsid w:val="00CB1885"/>
    <w:rsid w:val="00CB2E19"/>
    <w:rsid w:val="00CB2F41"/>
    <w:rsid w:val="00CB39B2"/>
    <w:rsid w:val="00CB3B4F"/>
    <w:rsid w:val="00CB42DF"/>
    <w:rsid w:val="00CB5C35"/>
    <w:rsid w:val="00CB6596"/>
    <w:rsid w:val="00CC0395"/>
    <w:rsid w:val="00CC0A0B"/>
    <w:rsid w:val="00CC0C53"/>
    <w:rsid w:val="00CC178A"/>
    <w:rsid w:val="00CC212A"/>
    <w:rsid w:val="00CC2D12"/>
    <w:rsid w:val="00CC39BB"/>
    <w:rsid w:val="00CC3EA1"/>
    <w:rsid w:val="00CC4994"/>
    <w:rsid w:val="00CC4C45"/>
    <w:rsid w:val="00CC4C82"/>
    <w:rsid w:val="00CC53CF"/>
    <w:rsid w:val="00CC5A02"/>
    <w:rsid w:val="00CC5C50"/>
    <w:rsid w:val="00CC5EA6"/>
    <w:rsid w:val="00CC5F02"/>
    <w:rsid w:val="00CC6063"/>
    <w:rsid w:val="00CC64C8"/>
    <w:rsid w:val="00CC68F1"/>
    <w:rsid w:val="00CC6B2C"/>
    <w:rsid w:val="00CC76D6"/>
    <w:rsid w:val="00CC77DD"/>
    <w:rsid w:val="00CC7E48"/>
    <w:rsid w:val="00CD1A78"/>
    <w:rsid w:val="00CD2020"/>
    <w:rsid w:val="00CD2A36"/>
    <w:rsid w:val="00CD2B33"/>
    <w:rsid w:val="00CD361F"/>
    <w:rsid w:val="00CD3C88"/>
    <w:rsid w:val="00CD3D6D"/>
    <w:rsid w:val="00CD3E6F"/>
    <w:rsid w:val="00CD3F16"/>
    <w:rsid w:val="00CD416B"/>
    <w:rsid w:val="00CD4249"/>
    <w:rsid w:val="00CD4DC5"/>
    <w:rsid w:val="00CD51AF"/>
    <w:rsid w:val="00CD5457"/>
    <w:rsid w:val="00CD54B2"/>
    <w:rsid w:val="00CD57FA"/>
    <w:rsid w:val="00CD5BB1"/>
    <w:rsid w:val="00CD5D2B"/>
    <w:rsid w:val="00CD5FAA"/>
    <w:rsid w:val="00CD63B5"/>
    <w:rsid w:val="00CD6CD9"/>
    <w:rsid w:val="00CD6D58"/>
    <w:rsid w:val="00CD7037"/>
    <w:rsid w:val="00CD7269"/>
    <w:rsid w:val="00CD776F"/>
    <w:rsid w:val="00CD7D71"/>
    <w:rsid w:val="00CE01F1"/>
    <w:rsid w:val="00CE0735"/>
    <w:rsid w:val="00CE1252"/>
    <w:rsid w:val="00CE16A3"/>
    <w:rsid w:val="00CE20C6"/>
    <w:rsid w:val="00CE220A"/>
    <w:rsid w:val="00CE2C86"/>
    <w:rsid w:val="00CE3090"/>
    <w:rsid w:val="00CE4D78"/>
    <w:rsid w:val="00CE5019"/>
    <w:rsid w:val="00CE552F"/>
    <w:rsid w:val="00CE5758"/>
    <w:rsid w:val="00CE58BE"/>
    <w:rsid w:val="00CE6238"/>
    <w:rsid w:val="00CE68F8"/>
    <w:rsid w:val="00CE70B3"/>
    <w:rsid w:val="00CE7CA4"/>
    <w:rsid w:val="00CF0376"/>
    <w:rsid w:val="00CF0AA5"/>
    <w:rsid w:val="00CF1B5F"/>
    <w:rsid w:val="00CF1C82"/>
    <w:rsid w:val="00CF1CCB"/>
    <w:rsid w:val="00CF1DFD"/>
    <w:rsid w:val="00CF2536"/>
    <w:rsid w:val="00CF30FD"/>
    <w:rsid w:val="00CF32C1"/>
    <w:rsid w:val="00CF39B2"/>
    <w:rsid w:val="00CF3C55"/>
    <w:rsid w:val="00CF4552"/>
    <w:rsid w:val="00CF4651"/>
    <w:rsid w:val="00CF4A30"/>
    <w:rsid w:val="00CF51B6"/>
    <w:rsid w:val="00CF607F"/>
    <w:rsid w:val="00CF64F5"/>
    <w:rsid w:val="00CF65A7"/>
    <w:rsid w:val="00CF711A"/>
    <w:rsid w:val="00CF71F3"/>
    <w:rsid w:val="00D00881"/>
    <w:rsid w:val="00D00E59"/>
    <w:rsid w:val="00D015EC"/>
    <w:rsid w:val="00D01B02"/>
    <w:rsid w:val="00D02948"/>
    <w:rsid w:val="00D02DFE"/>
    <w:rsid w:val="00D03018"/>
    <w:rsid w:val="00D039A9"/>
    <w:rsid w:val="00D03B07"/>
    <w:rsid w:val="00D03E57"/>
    <w:rsid w:val="00D04312"/>
    <w:rsid w:val="00D04484"/>
    <w:rsid w:val="00D04667"/>
    <w:rsid w:val="00D046A1"/>
    <w:rsid w:val="00D04D77"/>
    <w:rsid w:val="00D05226"/>
    <w:rsid w:val="00D061F8"/>
    <w:rsid w:val="00D06894"/>
    <w:rsid w:val="00D06AED"/>
    <w:rsid w:val="00D06C70"/>
    <w:rsid w:val="00D06CBB"/>
    <w:rsid w:val="00D0743C"/>
    <w:rsid w:val="00D079CD"/>
    <w:rsid w:val="00D07E0C"/>
    <w:rsid w:val="00D10408"/>
    <w:rsid w:val="00D1160C"/>
    <w:rsid w:val="00D118E7"/>
    <w:rsid w:val="00D11B2A"/>
    <w:rsid w:val="00D13090"/>
    <w:rsid w:val="00D134D1"/>
    <w:rsid w:val="00D13846"/>
    <w:rsid w:val="00D139BA"/>
    <w:rsid w:val="00D13A75"/>
    <w:rsid w:val="00D13F66"/>
    <w:rsid w:val="00D141E1"/>
    <w:rsid w:val="00D147C4"/>
    <w:rsid w:val="00D1485C"/>
    <w:rsid w:val="00D14ED8"/>
    <w:rsid w:val="00D15082"/>
    <w:rsid w:val="00D162BF"/>
    <w:rsid w:val="00D168BD"/>
    <w:rsid w:val="00D16E37"/>
    <w:rsid w:val="00D1777E"/>
    <w:rsid w:val="00D17B7D"/>
    <w:rsid w:val="00D20151"/>
    <w:rsid w:val="00D20381"/>
    <w:rsid w:val="00D205CD"/>
    <w:rsid w:val="00D20748"/>
    <w:rsid w:val="00D20991"/>
    <w:rsid w:val="00D2199D"/>
    <w:rsid w:val="00D226B5"/>
    <w:rsid w:val="00D22EB4"/>
    <w:rsid w:val="00D22F61"/>
    <w:rsid w:val="00D23392"/>
    <w:rsid w:val="00D23AD6"/>
    <w:rsid w:val="00D23C80"/>
    <w:rsid w:val="00D23E7E"/>
    <w:rsid w:val="00D2405A"/>
    <w:rsid w:val="00D2440A"/>
    <w:rsid w:val="00D258B9"/>
    <w:rsid w:val="00D26297"/>
    <w:rsid w:val="00D262BE"/>
    <w:rsid w:val="00D2657C"/>
    <w:rsid w:val="00D27081"/>
    <w:rsid w:val="00D27E32"/>
    <w:rsid w:val="00D27EF5"/>
    <w:rsid w:val="00D3000A"/>
    <w:rsid w:val="00D30645"/>
    <w:rsid w:val="00D30E28"/>
    <w:rsid w:val="00D317EC"/>
    <w:rsid w:val="00D31826"/>
    <w:rsid w:val="00D3184C"/>
    <w:rsid w:val="00D319B6"/>
    <w:rsid w:val="00D31ACF"/>
    <w:rsid w:val="00D321FC"/>
    <w:rsid w:val="00D322BF"/>
    <w:rsid w:val="00D331E0"/>
    <w:rsid w:val="00D33918"/>
    <w:rsid w:val="00D343DB"/>
    <w:rsid w:val="00D347B1"/>
    <w:rsid w:val="00D34D33"/>
    <w:rsid w:val="00D35F84"/>
    <w:rsid w:val="00D365D7"/>
    <w:rsid w:val="00D36FEC"/>
    <w:rsid w:val="00D37473"/>
    <w:rsid w:val="00D40854"/>
    <w:rsid w:val="00D40878"/>
    <w:rsid w:val="00D40D5F"/>
    <w:rsid w:val="00D40FEE"/>
    <w:rsid w:val="00D41117"/>
    <w:rsid w:val="00D41614"/>
    <w:rsid w:val="00D41E74"/>
    <w:rsid w:val="00D42717"/>
    <w:rsid w:val="00D42889"/>
    <w:rsid w:val="00D429E1"/>
    <w:rsid w:val="00D42C98"/>
    <w:rsid w:val="00D42D5C"/>
    <w:rsid w:val="00D430BD"/>
    <w:rsid w:val="00D433D1"/>
    <w:rsid w:val="00D4343E"/>
    <w:rsid w:val="00D43569"/>
    <w:rsid w:val="00D43603"/>
    <w:rsid w:val="00D43E0F"/>
    <w:rsid w:val="00D44006"/>
    <w:rsid w:val="00D44035"/>
    <w:rsid w:val="00D440E6"/>
    <w:rsid w:val="00D4440B"/>
    <w:rsid w:val="00D44C72"/>
    <w:rsid w:val="00D45340"/>
    <w:rsid w:val="00D455DA"/>
    <w:rsid w:val="00D458B1"/>
    <w:rsid w:val="00D4592C"/>
    <w:rsid w:val="00D465D9"/>
    <w:rsid w:val="00D46885"/>
    <w:rsid w:val="00D47099"/>
    <w:rsid w:val="00D5057A"/>
    <w:rsid w:val="00D50C20"/>
    <w:rsid w:val="00D50C6A"/>
    <w:rsid w:val="00D510FF"/>
    <w:rsid w:val="00D512E9"/>
    <w:rsid w:val="00D5149B"/>
    <w:rsid w:val="00D51D8F"/>
    <w:rsid w:val="00D5205E"/>
    <w:rsid w:val="00D524C8"/>
    <w:rsid w:val="00D5275D"/>
    <w:rsid w:val="00D52840"/>
    <w:rsid w:val="00D5290E"/>
    <w:rsid w:val="00D52970"/>
    <w:rsid w:val="00D52B5B"/>
    <w:rsid w:val="00D5308F"/>
    <w:rsid w:val="00D53BD0"/>
    <w:rsid w:val="00D53BDE"/>
    <w:rsid w:val="00D53EB1"/>
    <w:rsid w:val="00D54036"/>
    <w:rsid w:val="00D543DB"/>
    <w:rsid w:val="00D54450"/>
    <w:rsid w:val="00D54DFC"/>
    <w:rsid w:val="00D553DE"/>
    <w:rsid w:val="00D5695A"/>
    <w:rsid w:val="00D56B3C"/>
    <w:rsid w:val="00D56C74"/>
    <w:rsid w:val="00D6017C"/>
    <w:rsid w:val="00D61672"/>
    <w:rsid w:val="00D61824"/>
    <w:rsid w:val="00D63472"/>
    <w:rsid w:val="00D635B9"/>
    <w:rsid w:val="00D6376B"/>
    <w:rsid w:val="00D643A2"/>
    <w:rsid w:val="00D6464A"/>
    <w:rsid w:val="00D64965"/>
    <w:rsid w:val="00D64A1B"/>
    <w:rsid w:val="00D64AC4"/>
    <w:rsid w:val="00D6649B"/>
    <w:rsid w:val="00D665F0"/>
    <w:rsid w:val="00D66DFB"/>
    <w:rsid w:val="00D67131"/>
    <w:rsid w:val="00D67307"/>
    <w:rsid w:val="00D6748D"/>
    <w:rsid w:val="00D67D02"/>
    <w:rsid w:val="00D704CB"/>
    <w:rsid w:val="00D706A2"/>
    <w:rsid w:val="00D70EAC"/>
    <w:rsid w:val="00D70EF6"/>
    <w:rsid w:val="00D71976"/>
    <w:rsid w:val="00D71AB7"/>
    <w:rsid w:val="00D72743"/>
    <w:rsid w:val="00D72AE0"/>
    <w:rsid w:val="00D73210"/>
    <w:rsid w:val="00D7344F"/>
    <w:rsid w:val="00D735D9"/>
    <w:rsid w:val="00D739DF"/>
    <w:rsid w:val="00D73E28"/>
    <w:rsid w:val="00D7400A"/>
    <w:rsid w:val="00D745B7"/>
    <w:rsid w:val="00D749ED"/>
    <w:rsid w:val="00D75218"/>
    <w:rsid w:val="00D754C6"/>
    <w:rsid w:val="00D758A4"/>
    <w:rsid w:val="00D7623C"/>
    <w:rsid w:val="00D7652E"/>
    <w:rsid w:val="00D76C54"/>
    <w:rsid w:val="00D800FB"/>
    <w:rsid w:val="00D8086C"/>
    <w:rsid w:val="00D80C8C"/>
    <w:rsid w:val="00D80CFD"/>
    <w:rsid w:val="00D81E69"/>
    <w:rsid w:val="00D82074"/>
    <w:rsid w:val="00D82DCB"/>
    <w:rsid w:val="00D83875"/>
    <w:rsid w:val="00D859C5"/>
    <w:rsid w:val="00D85A56"/>
    <w:rsid w:val="00D85C15"/>
    <w:rsid w:val="00D860B2"/>
    <w:rsid w:val="00D8612F"/>
    <w:rsid w:val="00D86165"/>
    <w:rsid w:val="00D86C25"/>
    <w:rsid w:val="00D86EED"/>
    <w:rsid w:val="00D873DE"/>
    <w:rsid w:val="00D876B7"/>
    <w:rsid w:val="00D876E9"/>
    <w:rsid w:val="00D87E16"/>
    <w:rsid w:val="00D87E5E"/>
    <w:rsid w:val="00D903F6"/>
    <w:rsid w:val="00D9083E"/>
    <w:rsid w:val="00D909DA"/>
    <w:rsid w:val="00D9146C"/>
    <w:rsid w:val="00D914DC"/>
    <w:rsid w:val="00D9189C"/>
    <w:rsid w:val="00D91BAF"/>
    <w:rsid w:val="00D924C7"/>
    <w:rsid w:val="00D92F9D"/>
    <w:rsid w:val="00D930BB"/>
    <w:rsid w:val="00D930FC"/>
    <w:rsid w:val="00D936D6"/>
    <w:rsid w:val="00D93820"/>
    <w:rsid w:val="00D93AA3"/>
    <w:rsid w:val="00D93F80"/>
    <w:rsid w:val="00D949E7"/>
    <w:rsid w:val="00D9571F"/>
    <w:rsid w:val="00D95C8A"/>
    <w:rsid w:val="00D95DC1"/>
    <w:rsid w:val="00D95F17"/>
    <w:rsid w:val="00D9612B"/>
    <w:rsid w:val="00D96597"/>
    <w:rsid w:val="00D97614"/>
    <w:rsid w:val="00D97CC6"/>
    <w:rsid w:val="00DA0081"/>
    <w:rsid w:val="00DA027F"/>
    <w:rsid w:val="00DA056D"/>
    <w:rsid w:val="00DA0601"/>
    <w:rsid w:val="00DA1138"/>
    <w:rsid w:val="00DA158E"/>
    <w:rsid w:val="00DA2935"/>
    <w:rsid w:val="00DA2ABA"/>
    <w:rsid w:val="00DA3246"/>
    <w:rsid w:val="00DA3817"/>
    <w:rsid w:val="00DA3BEF"/>
    <w:rsid w:val="00DA3DD3"/>
    <w:rsid w:val="00DA3EAE"/>
    <w:rsid w:val="00DA3F5C"/>
    <w:rsid w:val="00DA46AF"/>
    <w:rsid w:val="00DA4A30"/>
    <w:rsid w:val="00DA4C9B"/>
    <w:rsid w:val="00DA598C"/>
    <w:rsid w:val="00DA5A48"/>
    <w:rsid w:val="00DA5A7E"/>
    <w:rsid w:val="00DA5F0B"/>
    <w:rsid w:val="00DA5F80"/>
    <w:rsid w:val="00DA5FEC"/>
    <w:rsid w:val="00DA6914"/>
    <w:rsid w:val="00DA6DC8"/>
    <w:rsid w:val="00DA6ED5"/>
    <w:rsid w:val="00DA715A"/>
    <w:rsid w:val="00DA76D4"/>
    <w:rsid w:val="00DA77C3"/>
    <w:rsid w:val="00DA7B85"/>
    <w:rsid w:val="00DA7F2A"/>
    <w:rsid w:val="00DB13A4"/>
    <w:rsid w:val="00DB15CD"/>
    <w:rsid w:val="00DB1C00"/>
    <w:rsid w:val="00DB1CA2"/>
    <w:rsid w:val="00DB1CC8"/>
    <w:rsid w:val="00DB1DD2"/>
    <w:rsid w:val="00DB2782"/>
    <w:rsid w:val="00DB2D70"/>
    <w:rsid w:val="00DB2EE1"/>
    <w:rsid w:val="00DB3E81"/>
    <w:rsid w:val="00DB4426"/>
    <w:rsid w:val="00DB44E0"/>
    <w:rsid w:val="00DB4D57"/>
    <w:rsid w:val="00DB5B73"/>
    <w:rsid w:val="00DB5BA5"/>
    <w:rsid w:val="00DB5D8A"/>
    <w:rsid w:val="00DB63D3"/>
    <w:rsid w:val="00DB69A5"/>
    <w:rsid w:val="00DB7401"/>
    <w:rsid w:val="00DB7BAD"/>
    <w:rsid w:val="00DB7BED"/>
    <w:rsid w:val="00DC024E"/>
    <w:rsid w:val="00DC0632"/>
    <w:rsid w:val="00DC1037"/>
    <w:rsid w:val="00DC13DA"/>
    <w:rsid w:val="00DC1891"/>
    <w:rsid w:val="00DC1E1F"/>
    <w:rsid w:val="00DC2FEC"/>
    <w:rsid w:val="00DC33C4"/>
    <w:rsid w:val="00DC3A8C"/>
    <w:rsid w:val="00DC3B5D"/>
    <w:rsid w:val="00DC452D"/>
    <w:rsid w:val="00DC45A3"/>
    <w:rsid w:val="00DC478F"/>
    <w:rsid w:val="00DC48DF"/>
    <w:rsid w:val="00DC4DFA"/>
    <w:rsid w:val="00DC5866"/>
    <w:rsid w:val="00DC69B9"/>
    <w:rsid w:val="00DD00C4"/>
    <w:rsid w:val="00DD0649"/>
    <w:rsid w:val="00DD0B12"/>
    <w:rsid w:val="00DD0DA9"/>
    <w:rsid w:val="00DD0E03"/>
    <w:rsid w:val="00DD1C27"/>
    <w:rsid w:val="00DD2FE4"/>
    <w:rsid w:val="00DD3134"/>
    <w:rsid w:val="00DD34D7"/>
    <w:rsid w:val="00DD34FB"/>
    <w:rsid w:val="00DD3809"/>
    <w:rsid w:val="00DD3AD5"/>
    <w:rsid w:val="00DD4275"/>
    <w:rsid w:val="00DD4E59"/>
    <w:rsid w:val="00DD5332"/>
    <w:rsid w:val="00DD534F"/>
    <w:rsid w:val="00DD618A"/>
    <w:rsid w:val="00DD719A"/>
    <w:rsid w:val="00DD754E"/>
    <w:rsid w:val="00DD76D1"/>
    <w:rsid w:val="00DD78EB"/>
    <w:rsid w:val="00DD7B86"/>
    <w:rsid w:val="00DE03E0"/>
    <w:rsid w:val="00DE0FBD"/>
    <w:rsid w:val="00DE142D"/>
    <w:rsid w:val="00DE20A2"/>
    <w:rsid w:val="00DE2261"/>
    <w:rsid w:val="00DE287E"/>
    <w:rsid w:val="00DE2C56"/>
    <w:rsid w:val="00DE325F"/>
    <w:rsid w:val="00DE3B47"/>
    <w:rsid w:val="00DE3DE2"/>
    <w:rsid w:val="00DE3F52"/>
    <w:rsid w:val="00DE4C20"/>
    <w:rsid w:val="00DE4D66"/>
    <w:rsid w:val="00DE4E6B"/>
    <w:rsid w:val="00DE4F32"/>
    <w:rsid w:val="00DE5581"/>
    <w:rsid w:val="00DE60C0"/>
    <w:rsid w:val="00DE6201"/>
    <w:rsid w:val="00DE6CB3"/>
    <w:rsid w:val="00DE7009"/>
    <w:rsid w:val="00DF0223"/>
    <w:rsid w:val="00DF0477"/>
    <w:rsid w:val="00DF0550"/>
    <w:rsid w:val="00DF0627"/>
    <w:rsid w:val="00DF065E"/>
    <w:rsid w:val="00DF0910"/>
    <w:rsid w:val="00DF0B8B"/>
    <w:rsid w:val="00DF0BDB"/>
    <w:rsid w:val="00DF0DE1"/>
    <w:rsid w:val="00DF0F27"/>
    <w:rsid w:val="00DF0FC1"/>
    <w:rsid w:val="00DF1BA3"/>
    <w:rsid w:val="00DF228D"/>
    <w:rsid w:val="00DF2B3B"/>
    <w:rsid w:val="00DF2B6A"/>
    <w:rsid w:val="00DF2B75"/>
    <w:rsid w:val="00DF2BC4"/>
    <w:rsid w:val="00DF2D97"/>
    <w:rsid w:val="00DF36DB"/>
    <w:rsid w:val="00DF3BFE"/>
    <w:rsid w:val="00DF3C7D"/>
    <w:rsid w:val="00DF3F29"/>
    <w:rsid w:val="00DF528C"/>
    <w:rsid w:val="00DF6192"/>
    <w:rsid w:val="00DF6848"/>
    <w:rsid w:val="00DF68CE"/>
    <w:rsid w:val="00DF69A4"/>
    <w:rsid w:val="00DF6AF1"/>
    <w:rsid w:val="00DF6D64"/>
    <w:rsid w:val="00DF6FEC"/>
    <w:rsid w:val="00E00B03"/>
    <w:rsid w:val="00E011FD"/>
    <w:rsid w:val="00E02250"/>
    <w:rsid w:val="00E0235F"/>
    <w:rsid w:val="00E023D6"/>
    <w:rsid w:val="00E028E3"/>
    <w:rsid w:val="00E02E9C"/>
    <w:rsid w:val="00E02F66"/>
    <w:rsid w:val="00E03A8D"/>
    <w:rsid w:val="00E041FA"/>
    <w:rsid w:val="00E0483B"/>
    <w:rsid w:val="00E0493C"/>
    <w:rsid w:val="00E04952"/>
    <w:rsid w:val="00E04E30"/>
    <w:rsid w:val="00E05420"/>
    <w:rsid w:val="00E05F8E"/>
    <w:rsid w:val="00E06ABA"/>
    <w:rsid w:val="00E06C2F"/>
    <w:rsid w:val="00E06D23"/>
    <w:rsid w:val="00E076B8"/>
    <w:rsid w:val="00E07C6E"/>
    <w:rsid w:val="00E10014"/>
    <w:rsid w:val="00E10060"/>
    <w:rsid w:val="00E1055E"/>
    <w:rsid w:val="00E10E19"/>
    <w:rsid w:val="00E10EBD"/>
    <w:rsid w:val="00E11029"/>
    <w:rsid w:val="00E1105F"/>
    <w:rsid w:val="00E11B21"/>
    <w:rsid w:val="00E11C26"/>
    <w:rsid w:val="00E11FC4"/>
    <w:rsid w:val="00E121A0"/>
    <w:rsid w:val="00E123E0"/>
    <w:rsid w:val="00E1267D"/>
    <w:rsid w:val="00E1271A"/>
    <w:rsid w:val="00E128FC"/>
    <w:rsid w:val="00E1315D"/>
    <w:rsid w:val="00E1317C"/>
    <w:rsid w:val="00E1357D"/>
    <w:rsid w:val="00E13683"/>
    <w:rsid w:val="00E137CA"/>
    <w:rsid w:val="00E13A50"/>
    <w:rsid w:val="00E142EC"/>
    <w:rsid w:val="00E1535F"/>
    <w:rsid w:val="00E15773"/>
    <w:rsid w:val="00E15F1F"/>
    <w:rsid w:val="00E16266"/>
    <w:rsid w:val="00E16CA7"/>
    <w:rsid w:val="00E17249"/>
    <w:rsid w:val="00E17292"/>
    <w:rsid w:val="00E175FA"/>
    <w:rsid w:val="00E17C35"/>
    <w:rsid w:val="00E17FF5"/>
    <w:rsid w:val="00E2010E"/>
    <w:rsid w:val="00E2038D"/>
    <w:rsid w:val="00E20476"/>
    <w:rsid w:val="00E21245"/>
    <w:rsid w:val="00E2214C"/>
    <w:rsid w:val="00E23924"/>
    <w:rsid w:val="00E24B59"/>
    <w:rsid w:val="00E24BF4"/>
    <w:rsid w:val="00E24CAE"/>
    <w:rsid w:val="00E24EE4"/>
    <w:rsid w:val="00E2578C"/>
    <w:rsid w:val="00E25AEA"/>
    <w:rsid w:val="00E25D05"/>
    <w:rsid w:val="00E25E0A"/>
    <w:rsid w:val="00E26178"/>
    <w:rsid w:val="00E262ED"/>
    <w:rsid w:val="00E2630C"/>
    <w:rsid w:val="00E26952"/>
    <w:rsid w:val="00E26FAF"/>
    <w:rsid w:val="00E27538"/>
    <w:rsid w:val="00E300E7"/>
    <w:rsid w:val="00E30112"/>
    <w:rsid w:val="00E3148C"/>
    <w:rsid w:val="00E314F9"/>
    <w:rsid w:val="00E31631"/>
    <w:rsid w:val="00E31772"/>
    <w:rsid w:val="00E32D31"/>
    <w:rsid w:val="00E33131"/>
    <w:rsid w:val="00E33282"/>
    <w:rsid w:val="00E33755"/>
    <w:rsid w:val="00E3380F"/>
    <w:rsid w:val="00E33935"/>
    <w:rsid w:val="00E3435E"/>
    <w:rsid w:val="00E34409"/>
    <w:rsid w:val="00E3524E"/>
    <w:rsid w:val="00E35877"/>
    <w:rsid w:val="00E35D35"/>
    <w:rsid w:val="00E36080"/>
    <w:rsid w:val="00E364FD"/>
    <w:rsid w:val="00E366D0"/>
    <w:rsid w:val="00E36BBE"/>
    <w:rsid w:val="00E36D12"/>
    <w:rsid w:val="00E37DA6"/>
    <w:rsid w:val="00E37DC0"/>
    <w:rsid w:val="00E40536"/>
    <w:rsid w:val="00E4121C"/>
    <w:rsid w:val="00E4148D"/>
    <w:rsid w:val="00E4192A"/>
    <w:rsid w:val="00E41DDA"/>
    <w:rsid w:val="00E42004"/>
    <w:rsid w:val="00E43638"/>
    <w:rsid w:val="00E43A73"/>
    <w:rsid w:val="00E44072"/>
    <w:rsid w:val="00E444D5"/>
    <w:rsid w:val="00E4493C"/>
    <w:rsid w:val="00E4513B"/>
    <w:rsid w:val="00E46242"/>
    <w:rsid w:val="00E46781"/>
    <w:rsid w:val="00E46D1B"/>
    <w:rsid w:val="00E50536"/>
    <w:rsid w:val="00E50AAB"/>
    <w:rsid w:val="00E51293"/>
    <w:rsid w:val="00E51501"/>
    <w:rsid w:val="00E516C6"/>
    <w:rsid w:val="00E517AE"/>
    <w:rsid w:val="00E5195D"/>
    <w:rsid w:val="00E51969"/>
    <w:rsid w:val="00E52283"/>
    <w:rsid w:val="00E52B80"/>
    <w:rsid w:val="00E52D10"/>
    <w:rsid w:val="00E53092"/>
    <w:rsid w:val="00E533F3"/>
    <w:rsid w:val="00E5356F"/>
    <w:rsid w:val="00E537E2"/>
    <w:rsid w:val="00E5407D"/>
    <w:rsid w:val="00E54107"/>
    <w:rsid w:val="00E542CA"/>
    <w:rsid w:val="00E547D3"/>
    <w:rsid w:val="00E552E5"/>
    <w:rsid w:val="00E55937"/>
    <w:rsid w:val="00E55A34"/>
    <w:rsid w:val="00E563A7"/>
    <w:rsid w:val="00E5654D"/>
    <w:rsid w:val="00E568F5"/>
    <w:rsid w:val="00E56DDF"/>
    <w:rsid w:val="00E60386"/>
    <w:rsid w:val="00E6097B"/>
    <w:rsid w:val="00E60F16"/>
    <w:rsid w:val="00E612D3"/>
    <w:rsid w:val="00E61FC0"/>
    <w:rsid w:val="00E6210D"/>
    <w:rsid w:val="00E621AF"/>
    <w:rsid w:val="00E622B0"/>
    <w:rsid w:val="00E623F2"/>
    <w:rsid w:val="00E624C8"/>
    <w:rsid w:val="00E62724"/>
    <w:rsid w:val="00E62ABD"/>
    <w:rsid w:val="00E630A7"/>
    <w:rsid w:val="00E63468"/>
    <w:rsid w:val="00E63E4F"/>
    <w:rsid w:val="00E65812"/>
    <w:rsid w:val="00E65EFE"/>
    <w:rsid w:val="00E664A2"/>
    <w:rsid w:val="00E66E8D"/>
    <w:rsid w:val="00E6740F"/>
    <w:rsid w:val="00E67832"/>
    <w:rsid w:val="00E67AF4"/>
    <w:rsid w:val="00E70337"/>
    <w:rsid w:val="00E70ADF"/>
    <w:rsid w:val="00E70C66"/>
    <w:rsid w:val="00E71FD2"/>
    <w:rsid w:val="00E72167"/>
    <w:rsid w:val="00E72989"/>
    <w:rsid w:val="00E7313E"/>
    <w:rsid w:val="00E737EC"/>
    <w:rsid w:val="00E74008"/>
    <w:rsid w:val="00E745F2"/>
    <w:rsid w:val="00E7497A"/>
    <w:rsid w:val="00E74F95"/>
    <w:rsid w:val="00E755B6"/>
    <w:rsid w:val="00E75926"/>
    <w:rsid w:val="00E759B7"/>
    <w:rsid w:val="00E75F12"/>
    <w:rsid w:val="00E76022"/>
    <w:rsid w:val="00E76A38"/>
    <w:rsid w:val="00E76BE8"/>
    <w:rsid w:val="00E76D54"/>
    <w:rsid w:val="00E77155"/>
    <w:rsid w:val="00E7720D"/>
    <w:rsid w:val="00E77563"/>
    <w:rsid w:val="00E7777C"/>
    <w:rsid w:val="00E77D3B"/>
    <w:rsid w:val="00E8008C"/>
    <w:rsid w:val="00E8020F"/>
    <w:rsid w:val="00E80B9F"/>
    <w:rsid w:val="00E80D91"/>
    <w:rsid w:val="00E80E9C"/>
    <w:rsid w:val="00E81945"/>
    <w:rsid w:val="00E81BC0"/>
    <w:rsid w:val="00E81D06"/>
    <w:rsid w:val="00E8251F"/>
    <w:rsid w:val="00E8287E"/>
    <w:rsid w:val="00E8364C"/>
    <w:rsid w:val="00E84626"/>
    <w:rsid w:val="00E84ACC"/>
    <w:rsid w:val="00E84E60"/>
    <w:rsid w:val="00E851A2"/>
    <w:rsid w:val="00E8526F"/>
    <w:rsid w:val="00E86375"/>
    <w:rsid w:val="00E86760"/>
    <w:rsid w:val="00E86BB7"/>
    <w:rsid w:val="00E86D58"/>
    <w:rsid w:val="00E87638"/>
    <w:rsid w:val="00E907EA"/>
    <w:rsid w:val="00E90B8B"/>
    <w:rsid w:val="00E90DA9"/>
    <w:rsid w:val="00E917D4"/>
    <w:rsid w:val="00E9202C"/>
    <w:rsid w:val="00E923CC"/>
    <w:rsid w:val="00E929AE"/>
    <w:rsid w:val="00E92E13"/>
    <w:rsid w:val="00E9360C"/>
    <w:rsid w:val="00E93F9C"/>
    <w:rsid w:val="00E941D1"/>
    <w:rsid w:val="00E95E0B"/>
    <w:rsid w:val="00E9630B"/>
    <w:rsid w:val="00E964AE"/>
    <w:rsid w:val="00E96A11"/>
    <w:rsid w:val="00E97021"/>
    <w:rsid w:val="00E976C2"/>
    <w:rsid w:val="00E97CE3"/>
    <w:rsid w:val="00E97EB3"/>
    <w:rsid w:val="00EA01E5"/>
    <w:rsid w:val="00EA070B"/>
    <w:rsid w:val="00EA184D"/>
    <w:rsid w:val="00EA18ED"/>
    <w:rsid w:val="00EA1A13"/>
    <w:rsid w:val="00EA1B50"/>
    <w:rsid w:val="00EA1DE2"/>
    <w:rsid w:val="00EA2DE6"/>
    <w:rsid w:val="00EA2DEB"/>
    <w:rsid w:val="00EA3004"/>
    <w:rsid w:val="00EA34FE"/>
    <w:rsid w:val="00EA35E3"/>
    <w:rsid w:val="00EA3944"/>
    <w:rsid w:val="00EA399C"/>
    <w:rsid w:val="00EA4228"/>
    <w:rsid w:val="00EA46AB"/>
    <w:rsid w:val="00EA4E4D"/>
    <w:rsid w:val="00EA4EF9"/>
    <w:rsid w:val="00EA56F0"/>
    <w:rsid w:val="00EA5845"/>
    <w:rsid w:val="00EA6045"/>
    <w:rsid w:val="00EA6423"/>
    <w:rsid w:val="00EA6E61"/>
    <w:rsid w:val="00EA7169"/>
    <w:rsid w:val="00EA75BF"/>
    <w:rsid w:val="00EA76BF"/>
    <w:rsid w:val="00EB1614"/>
    <w:rsid w:val="00EB1C8D"/>
    <w:rsid w:val="00EB1EDF"/>
    <w:rsid w:val="00EB21D8"/>
    <w:rsid w:val="00EB230F"/>
    <w:rsid w:val="00EB2B32"/>
    <w:rsid w:val="00EB304F"/>
    <w:rsid w:val="00EB357C"/>
    <w:rsid w:val="00EB3729"/>
    <w:rsid w:val="00EB3BB1"/>
    <w:rsid w:val="00EB3C62"/>
    <w:rsid w:val="00EB3D63"/>
    <w:rsid w:val="00EB3F62"/>
    <w:rsid w:val="00EB4278"/>
    <w:rsid w:val="00EB48F7"/>
    <w:rsid w:val="00EB4DCB"/>
    <w:rsid w:val="00EB523B"/>
    <w:rsid w:val="00EB5A2E"/>
    <w:rsid w:val="00EB61C6"/>
    <w:rsid w:val="00EB6515"/>
    <w:rsid w:val="00EB6850"/>
    <w:rsid w:val="00EB6FF6"/>
    <w:rsid w:val="00EB7108"/>
    <w:rsid w:val="00EB7C2D"/>
    <w:rsid w:val="00EC05AD"/>
    <w:rsid w:val="00EC0639"/>
    <w:rsid w:val="00EC1106"/>
    <w:rsid w:val="00EC122A"/>
    <w:rsid w:val="00EC126E"/>
    <w:rsid w:val="00EC1569"/>
    <w:rsid w:val="00EC2405"/>
    <w:rsid w:val="00EC2EBD"/>
    <w:rsid w:val="00EC3116"/>
    <w:rsid w:val="00EC31DC"/>
    <w:rsid w:val="00EC35DC"/>
    <w:rsid w:val="00EC3D9B"/>
    <w:rsid w:val="00EC3FD0"/>
    <w:rsid w:val="00EC4161"/>
    <w:rsid w:val="00EC4EA5"/>
    <w:rsid w:val="00EC6415"/>
    <w:rsid w:val="00EC69F2"/>
    <w:rsid w:val="00EC72E9"/>
    <w:rsid w:val="00EC741D"/>
    <w:rsid w:val="00EC7B03"/>
    <w:rsid w:val="00EC7DF7"/>
    <w:rsid w:val="00EC7F1D"/>
    <w:rsid w:val="00ED0066"/>
    <w:rsid w:val="00ED066E"/>
    <w:rsid w:val="00ED14F7"/>
    <w:rsid w:val="00ED2BB3"/>
    <w:rsid w:val="00ED31CB"/>
    <w:rsid w:val="00ED34B0"/>
    <w:rsid w:val="00ED399C"/>
    <w:rsid w:val="00ED3AAC"/>
    <w:rsid w:val="00ED3B70"/>
    <w:rsid w:val="00ED3E90"/>
    <w:rsid w:val="00ED40F1"/>
    <w:rsid w:val="00ED46CE"/>
    <w:rsid w:val="00ED4A9C"/>
    <w:rsid w:val="00ED4B72"/>
    <w:rsid w:val="00ED502D"/>
    <w:rsid w:val="00ED54A6"/>
    <w:rsid w:val="00ED5632"/>
    <w:rsid w:val="00ED5879"/>
    <w:rsid w:val="00ED5E38"/>
    <w:rsid w:val="00ED6EB2"/>
    <w:rsid w:val="00ED72CF"/>
    <w:rsid w:val="00ED7856"/>
    <w:rsid w:val="00ED7CE9"/>
    <w:rsid w:val="00ED7D7C"/>
    <w:rsid w:val="00EE09F6"/>
    <w:rsid w:val="00EE0BB5"/>
    <w:rsid w:val="00EE1744"/>
    <w:rsid w:val="00EE2055"/>
    <w:rsid w:val="00EE2BA4"/>
    <w:rsid w:val="00EE30F0"/>
    <w:rsid w:val="00EE3279"/>
    <w:rsid w:val="00EE344D"/>
    <w:rsid w:val="00EE3C1D"/>
    <w:rsid w:val="00EE3E41"/>
    <w:rsid w:val="00EE40E6"/>
    <w:rsid w:val="00EE46E8"/>
    <w:rsid w:val="00EE5FDC"/>
    <w:rsid w:val="00EE6300"/>
    <w:rsid w:val="00EE642A"/>
    <w:rsid w:val="00EE68B9"/>
    <w:rsid w:val="00EE6A34"/>
    <w:rsid w:val="00EE76EC"/>
    <w:rsid w:val="00EE7ADC"/>
    <w:rsid w:val="00EE7DCE"/>
    <w:rsid w:val="00EF00F3"/>
    <w:rsid w:val="00EF041F"/>
    <w:rsid w:val="00EF08E8"/>
    <w:rsid w:val="00EF0CD4"/>
    <w:rsid w:val="00EF2788"/>
    <w:rsid w:val="00EF29F2"/>
    <w:rsid w:val="00EF2AC8"/>
    <w:rsid w:val="00EF3180"/>
    <w:rsid w:val="00EF329B"/>
    <w:rsid w:val="00EF33B8"/>
    <w:rsid w:val="00EF3A96"/>
    <w:rsid w:val="00EF4440"/>
    <w:rsid w:val="00EF480D"/>
    <w:rsid w:val="00EF4E34"/>
    <w:rsid w:val="00EF4EB0"/>
    <w:rsid w:val="00EF5F54"/>
    <w:rsid w:val="00EF652E"/>
    <w:rsid w:val="00EF68EF"/>
    <w:rsid w:val="00EF6FDA"/>
    <w:rsid w:val="00EF724A"/>
    <w:rsid w:val="00EF7B19"/>
    <w:rsid w:val="00F00672"/>
    <w:rsid w:val="00F006D1"/>
    <w:rsid w:val="00F00F8D"/>
    <w:rsid w:val="00F011E0"/>
    <w:rsid w:val="00F01689"/>
    <w:rsid w:val="00F01C8D"/>
    <w:rsid w:val="00F02089"/>
    <w:rsid w:val="00F020D7"/>
    <w:rsid w:val="00F02D12"/>
    <w:rsid w:val="00F03462"/>
    <w:rsid w:val="00F0356E"/>
    <w:rsid w:val="00F03A34"/>
    <w:rsid w:val="00F03BE7"/>
    <w:rsid w:val="00F042F9"/>
    <w:rsid w:val="00F058C8"/>
    <w:rsid w:val="00F05A2E"/>
    <w:rsid w:val="00F05A32"/>
    <w:rsid w:val="00F0605F"/>
    <w:rsid w:val="00F067F2"/>
    <w:rsid w:val="00F06E01"/>
    <w:rsid w:val="00F070BE"/>
    <w:rsid w:val="00F07266"/>
    <w:rsid w:val="00F077B4"/>
    <w:rsid w:val="00F079B5"/>
    <w:rsid w:val="00F07C09"/>
    <w:rsid w:val="00F07D0C"/>
    <w:rsid w:val="00F1086B"/>
    <w:rsid w:val="00F10B40"/>
    <w:rsid w:val="00F10DC1"/>
    <w:rsid w:val="00F1101E"/>
    <w:rsid w:val="00F11825"/>
    <w:rsid w:val="00F11894"/>
    <w:rsid w:val="00F11BEE"/>
    <w:rsid w:val="00F1249D"/>
    <w:rsid w:val="00F12890"/>
    <w:rsid w:val="00F12BD4"/>
    <w:rsid w:val="00F13321"/>
    <w:rsid w:val="00F13441"/>
    <w:rsid w:val="00F13577"/>
    <w:rsid w:val="00F138BA"/>
    <w:rsid w:val="00F13A33"/>
    <w:rsid w:val="00F14722"/>
    <w:rsid w:val="00F14CF2"/>
    <w:rsid w:val="00F15977"/>
    <w:rsid w:val="00F15FBD"/>
    <w:rsid w:val="00F16B3F"/>
    <w:rsid w:val="00F16E4F"/>
    <w:rsid w:val="00F170B9"/>
    <w:rsid w:val="00F177BD"/>
    <w:rsid w:val="00F201C2"/>
    <w:rsid w:val="00F2040F"/>
    <w:rsid w:val="00F2159F"/>
    <w:rsid w:val="00F216CA"/>
    <w:rsid w:val="00F22F77"/>
    <w:rsid w:val="00F23B36"/>
    <w:rsid w:val="00F23F75"/>
    <w:rsid w:val="00F241B2"/>
    <w:rsid w:val="00F24438"/>
    <w:rsid w:val="00F2657D"/>
    <w:rsid w:val="00F26649"/>
    <w:rsid w:val="00F268C5"/>
    <w:rsid w:val="00F26D1C"/>
    <w:rsid w:val="00F26EF0"/>
    <w:rsid w:val="00F2723C"/>
    <w:rsid w:val="00F275EA"/>
    <w:rsid w:val="00F27B95"/>
    <w:rsid w:val="00F27F2B"/>
    <w:rsid w:val="00F30745"/>
    <w:rsid w:val="00F309D0"/>
    <w:rsid w:val="00F30FF9"/>
    <w:rsid w:val="00F31174"/>
    <w:rsid w:val="00F311FB"/>
    <w:rsid w:val="00F31358"/>
    <w:rsid w:val="00F324E4"/>
    <w:rsid w:val="00F32A2B"/>
    <w:rsid w:val="00F338C1"/>
    <w:rsid w:val="00F33A48"/>
    <w:rsid w:val="00F34A69"/>
    <w:rsid w:val="00F3527D"/>
    <w:rsid w:val="00F353C0"/>
    <w:rsid w:val="00F356B3"/>
    <w:rsid w:val="00F35700"/>
    <w:rsid w:val="00F35DDB"/>
    <w:rsid w:val="00F35E44"/>
    <w:rsid w:val="00F36346"/>
    <w:rsid w:val="00F368C8"/>
    <w:rsid w:val="00F369CB"/>
    <w:rsid w:val="00F36C7B"/>
    <w:rsid w:val="00F36CBE"/>
    <w:rsid w:val="00F37E73"/>
    <w:rsid w:val="00F40287"/>
    <w:rsid w:val="00F408E5"/>
    <w:rsid w:val="00F40D4B"/>
    <w:rsid w:val="00F40DD0"/>
    <w:rsid w:val="00F41031"/>
    <w:rsid w:val="00F412BB"/>
    <w:rsid w:val="00F412D2"/>
    <w:rsid w:val="00F415A7"/>
    <w:rsid w:val="00F418D7"/>
    <w:rsid w:val="00F41913"/>
    <w:rsid w:val="00F41942"/>
    <w:rsid w:val="00F41A8B"/>
    <w:rsid w:val="00F41BFA"/>
    <w:rsid w:val="00F423B4"/>
    <w:rsid w:val="00F42529"/>
    <w:rsid w:val="00F429F1"/>
    <w:rsid w:val="00F4429C"/>
    <w:rsid w:val="00F446FD"/>
    <w:rsid w:val="00F44911"/>
    <w:rsid w:val="00F44A0D"/>
    <w:rsid w:val="00F44C57"/>
    <w:rsid w:val="00F45810"/>
    <w:rsid w:val="00F4599B"/>
    <w:rsid w:val="00F45C89"/>
    <w:rsid w:val="00F45EA5"/>
    <w:rsid w:val="00F4685D"/>
    <w:rsid w:val="00F46A17"/>
    <w:rsid w:val="00F46E14"/>
    <w:rsid w:val="00F47555"/>
    <w:rsid w:val="00F50137"/>
    <w:rsid w:val="00F50AE4"/>
    <w:rsid w:val="00F50C84"/>
    <w:rsid w:val="00F50DDD"/>
    <w:rsid w:val="00F51BDF"/>
    <w:rsid w:val="00F5257C"/>
    <w:rsid w:val="00F52A8E"/>
    <w:rsid w:val="00F52FE1"/>
    <w:rsid w:val="00F5321A"/>
    <w:rsid w:val="00F5351B"/>
    <w:rsid w:val="00F53570"/>
    <w:rsid w:val="00F53660"/>
    <w:rsid w:val="00F5397F"/>
    <w:rsid w:val="00F53FD6"/>
    <w:rsid w:val="00F53FFF"/>
    <w:rsid w:val="00F5464A"/>
    <w:rsid w:val="00F54DDC"/>
    <w:rsid w:val="00F55370"/>
    <w:rsid w:val="00F55764"/>
    <w:rsid w:val="00F55D58"/>
    <w:rsid w:val="00F569A7"/>
    <w:rsid w:val="00F570A7"/>
    <w:rsid w:val="00F57494"/>
    <w:rsid w:val="00F5776C"/>
    <w:rsid w:val="00F57AAF"/>
    <w:rsid w:val="00F60EEF"/>
    <w:rsid w:val="00F60FB1"/>
    <w:rsid w:val="00F6120D"/>
    <w:rsid w:val="00F61B72"/>
    <w:rsid w:val="00F6233C"/>
    <w:rsid w:val="00F625F8"/>
    <w:rsid w:val="00F626C8"/>
    <w:rsid w:val="00F629E4"/>
    <w:rsid w:val="00F62C22"/>
    <w:rsid w:val="00F63809"/>
    <w:rsid w:val="00F64075"/>
    <w:rsid w:val="00F64D88"/>
    <w:rsid w:val="00F65479"/>
    <w:rsid w:val="00F65A2D"/>
    <w:rsid w:val="00F65C04"/>
    <w:rsid w:val="00F65D9D"/>
    <w:rsid w:val="00F663CF"/>
    <w:rsid w:val="00F66741"/>
    <w:rsid w:val="00F6691E"/>
    <w:rsid w:val="00F7031A"/>
    <w:rsid w:val="00F70B8A"/>
    <w:rsid w:val="00F711C8"/>
    <w:rsid w:val="00F716A1"/>
    <w:rsid w:val="00F71A4C"/>
    <w:rsid w:val="00F726E1"/>
    <w:rsid w:val="00F72E84"/>
    <w:rsid w:val="00F7339B"/>
    <w:rsid w:val="00F73F11"/>
    <w:rsid w:val="00F75FCF"/>
    <w:rsid w:val="00F76457"/>
    <w:rsid w:val="00F76634"/>
    <w:rsid w:val="00F76688"/>
    <w:rsid w:val="00F7690F"/>
    <w:rsid w:val="00F769EA"/>
    <w:rsid w:val="00F76AB3"/>
    <w:rsid w:val="00F76D7A"/>
    <w:rsid w:val="00F77417"/>
    <w:rsid w:val="00F77454"/>
    <w:rsid w:val="00F779A8"/>
    <w:rsid w:val="00F77AF2"/>
    <w:rsid w:val="00F80017"/>
    <w:rsid w:val="00F80097"/>
    <w:rsid w:val="00F80DED"/>
    <w:rsid w:val="00F814A3"/>
    <w:rsid w:val="00F826C5"/>
    <w:rsid w:val="00F82A4E"/>
    <w:rsid w:val="00F832EA"/>
    <w:rsid w:val="00F83CA1"/>
    <w:rsid w:val="00F83E45"/>
    <w:rsid w:val="00F840D9"/>
    <w:rsid w:val="00F843FC"/>
    <w:rsid w:val="00F8444C"/>
    <w:rsid w:val="00F846D9"/>
    <w:rsid w:val="00F849F2"/>
    <w:rsid w:val="00F84CCC"/>
    <w:rsid w:val="00F84E39"/>
    <w:rsid w:val="00F8528B"/>
    <w:rsid w:val="00F85FF2"/>
    <w:rsid w:val="00F862EC"/>
    <w:rsid w:val="00F8645E"/>
    <w:rsid w:val="00F8646A"/>
    <w:rsid w:val="00F8652B"/>
    <w:rsid w:val="00F873FC"/>
    <w:rsid w:val="00F87A3D"/>
    <w:rsid w:val="00F87C5A"/>
    <w:rsid w:val="00F9048D"/>
    <w:rsid w:val="00F907C1"/>
    <w:rsid w:val="00F90C11"/>
    <w:rsid w:val="00F90FA3"/>
    <w:rsid w:val="00F9116E"/>
    <w:rsid w:val="00F91384"/>
    <w:rsid w:val="00F915F2"/>
    <w:rsid w:val="00F91710"/>
    <w:rsid w:val="00F91B98"/>
    <w:rsid w:val="00F924DA"/>
    <w:rsid w:val="00F92A4A"/>
    <w:rsid w:val="00F92DAC"/>
    <w:rsid w:val="00F9324C"/>
    <w:rsid w:val="00F934EC"/>
    <w:rsid w:val="00F93B24"/>
    <w:rsid w:val="00F9480E"/>
    <w:rsid w:val="00F951C9"/>
    <w:rsid w:val="00F968FA"/>
    <w:rsid w:val="00F97A00"/>
    <w:rsid w:val="00F97B2F"/>
    <w:rsid w:val="00FA0E64"/>
    <w:rsid w:val="00FA1001"/>
    <w:rsid w:val="00FA10FE"/>
    <w:rsid w:val="00FA1573"/>
    <w:rsid w:val="00FA1E76"/>
    <w:rsid w:val="00FA1F87"/>
    <w:rsid w:val="00FA1FCB"/>
    <w:rsid w:val="00FA355A"/>
    <w:rsid w:val="00FA4055"/>
    <w:rsid w:val="00FA4462"/>
    <w:rsid w:val="00FA4C0A"/>
    <w:rsid w:val="00FA4C59"/>
    <w:rsid w:val="00FA513D"/>
    <w:rsid w:val="00FA5186"/>
    <w:rsid w:val="00FA5998"/>
    <w:rsid w:val="00FA6262"/>
    <w:rsid w:val="00FA6278"/>
    <w:rsid w:val="00FA6BC4"/>
    <w:rsid w:val="00FA7B0A"/>
    <w:rsid w:val="00FA7CDD"/>
    <w:rsid w:val="00FB07E6"/>
    <w:rsid w:val="00FB0973"/>
    <w:rsid w:val="00FB0EBC"/>
    <w:rsid w:val="00FB1036"/>
    <w:rsid w:val="00FB10AD"/>
    <w:rsid w:val="00FB126A"/>
    <w:rsid w:val="00FB1596"/>
    <w:rsid w:val="00FB18DB"/>
    <w:rsid w:val="00FB1FDE"/>
    <w:rsid w:val="00FB291F"/>
    <w:rsid w:val="00FB2CFC"/>
    <w:rsid w:val="00FB35DD"/>
    <w:rsid w:val="00FB37BA"/>
    <w:rsid w:val="00FB3F1D"/>
    <w:rsid w:val="00FB4105"/>
    <w:rsid w:val="00FB410F"/>
    <w:rsid w:val="00FB4B8B"/>
    <w:rsid w:val="00FB5EEA"/>
    <w:rsid w:val="00FB61B0"/>
    <w:rsid w:val="00FB714E"/>
    <w:rsid w:val="00FB7238"/>
    <w:rsid w:val="00FB77F9"/>
    <w:rsid w:val="00FB7A40"/>
    <w:rsid w:val="00FB7B9A"/>
    <w:rsid w:val="00FC05A3"/>
    <w:rsid w:val="00FC09C3"/>
    <w:rsid w:val="00FC105C"/>
    <w:rsid w:val="00FC230E"/>
    <w:rsid w:val="00FC2905"/>
    <w:rsid w:val="00FC2A70"/>
    <w:rsid w:val="00FC2AB7"/>
    <w:rsid w:val="00FC315A"/>
    <w:rsid w:val="00FC343B"/>
    <w:rsid w:val="00FC3B40"/>
    <w:rsid w:val="00FC4CAD"/>
    <w:rsid w:val="00FC4E12"/>
    <w:rsid w:val="00FC517B"/>
    <w:rsid w:val="00FC61A8"/>
    <w:rsid w:val="00FC6291"/>
    <w:rsid w:val="00FC65A6"/>
    <w:rsid w:val="00FC667D"/>
    <w:rsid w:val="00FC6ABF"/>
    <w:rsid w:val="00FC6B6A"/>
    <w:rsid w:val="00FC76AA"/>
    <w:rsid w:val="00FC7A7C"/>
    <w:rsid w:val="00FC7D29"/>
    <w:rsid w:val="00FD110C"/>
    <w:rsid w:val="00FD1261"/>
    <w:rsid w:val="00FD1605"/>
    <w:rsid w:val="00FD1765"/>
    <w:rsid w:val="00FD1A1A"/>
    <w:rsid w:val="00FD1AB7"/>
    <w:rsid w:val="00FD1FA4"/>
    <w:rsid w:val="00FD2190"/>
    <w:rsid w:val="00FD2321"/>
    <w:rsid w:val="00FD242A"/>
    <w:rsid w:val="00FD2709"/>
    <w:rsid w:val="00FD28A1"/>
    <w:rsid w:val="00FD28CF"/>
    <w:rsid w:val="00FD2D40"/>
    <w:rsid w:val="00FD3120"/>
    <w:rsid w:val="00FD3B16"/>
    <w:rsid w:val="00FD3B58"/>
    <w:rsid w:val="00FD3C39"/>
    <w:rsid w:val="00FD3DEE"/>
    <w:rsid w:val="00FD3F34"/>
    <w:rsid w:val="00FD41D7"/>
    <w:rsid w:val="00FD4227"/>
    <w:rsid w:val="00FD4615"/>
    <w:rsid w:val="00FD4740"/>
    <w:rsid w:val="00FD4EDA"/>
    <w:rsid w:val="00FD5DA8"/>
    <w:rsid w:val="00FD6A5F"/>
    <w:rsid w:val="00FD6AE9"/>
    <w:rsid w:val="00FD6F27"/>
    <w:rsid w:val="00FD7330"/>
    <w:rsid w:val="00FD76E6"/>
    <w:rsid w:val="00FD7C0F"/>
    <w:rsid w:val="00FD7F73"/>
    <w:rsid w:val="00FE00D0"/>
    <w:rsid w:val="00FE0480"/>
    <w:rsid w:val="00FE059B"/>
    <w:rsid w:val="00FE07D5"/>
    <w:rsid w:val="00FE0C2F"/>
    <w:rsid w:val="00FE0D68"/>
    <w:rsid w:val="00FE10B1"/>
    <w:rsid w:val="00FE2148"/>
    <w:rsid w:val="00FE22FF"/>
    <w:rsid w:val="00FE2788"/>
    <w:rsid w:val="00FE2CC3"/>
    <w:rsid w:val="00FE33E8"/>
    <w:rsid w:val="00FE3986"/>
    <w:rsid w:val="00FE3BEC"/>
    <w:rsid w:val="00FE3E68"/>
    <w:rsid w:val="00FE3F9B"/>
    <w:rsid w:val="00FE441D"/>
    <w:rsid w:val="00FE4E5F"/>
    <w:rsid w:val="00FE5F25"/>
    <w:rsid w:val="00FE5F3C"/>
    <w:rsid w:val="00FE6455"/>
    <w:rsid w:val="00FE67AF"/>
    <w:rsid w:val="00FE6F2E"/>
    <w:rsid w:val="00FE778E"/>
    <w:rsid w:val="00FE7817"/>
    <w:rsid w:val="00FE78E9"/>
    <w:rsid w:val="00FE791E"/>
    <w:rsid w:val="00FE7B3C"/>
    <w:rsid w:val="00FE7FEB"/>
    <w:rsid w:val="00FF17EE"/>
    <w:rsid w:val="00FF1986"/>
    <w:rsid w:val="00FF28A9"/>
    <w:rsid w:val="00FF299E"/>
    <w:rsid w:val="00FF2CA4"/>
    <w:rsid w:val="00FF2ED7"/>
    <w:rsid w:val="00FF3091"/>
    <w:rsid w:val="00FF3D4E"/>
    <w:rsid w:val="00FF4685"/>
    <w:rsid w:val="00FF50F9"/>
    <w:rsid w:val="00FF50FB"/>
    <w:rsid w:val="00FF51FB"/>
    <w:rsid w:val="00FF5BF3"/>
    <w:rsid w:val="00FF5D80"/>
    <w:rsid w:val="00FF6702"/>
    <w:rsid w:val="00FF6D6C"/>
    <w:rsid w:val="00FF72C5"/>
    <w:rsid w:val="00FF79B7"/>
    <w:rsid w:val="00FF7E2D"/>
    <w:rsid w:val="0146119E"/>
    <w:rsid w:val="05E47CD4"/>
    <w:rsid w:val="09043C33"/>
    <w:rsid w:val="0AB72581"/>
    <w:rsid w:val="0C2D51C3"/>
    <w:rsid w:val="0D386C01"/>
    <w:rsid w:val="0EC062CE"/>
    <w:rsid w:val="134D67EE"/>
    <w:rsid w:val="159959BF"/>
    <w:rsid w:val="1C132A4C"/>
    <w:rsid w:val="1DD65A22"/>
    <w:rsid w:val="1DF84A8D"/>
    <w:rsid w:val="1E445E6D"/>
    <w:rsid w:val="215B45E6"/>
    <w:rsid w:val="23085865"/>
    <w:rsid w:val="23826CF5"/>
    <w:rsid w:val="239A623E"/>
    <w:rsid w:val="23C0387E"/>
    <w:rsid w:val="241F2F59"/>
    <w:rsid w:val="26723415"/>
    <w:rsid w:val="287843E5"/>
    <w:rsid w:val="289B10CB"/>
    <w:rsid w:val="28AA7B68"/>
    <w:rsid w:val="2DDC4A40"/>
    <w:rsid w:val="31893377"/>
    <w:rsid w:val="326A4F91"/>
    <w:rsid w:val="38867E38"/>
    <w:rsid w:val="391E2A48"/>
    <w:rsid w:val="39353F52"/>
    <w:rsid w:val="39CD7700"/>
    <w:rsid w:val="3B387619"/>
    <w:rsid w:val="3CEF5BFC"/>
    <w:rsid w:val="3E454671"/>
    <w:rsid w:val="3F2235C9"/>
    <w:rsid w:val="41A86834"/>
    <w:rsid w:val="49BF75DC"/>
    <w:rsid w:val="4A5F1363"/>
    <w:rsid w:val="4A786505"/>
    <w:rsid w:val="4D193D76"/>
    <w:rsid w:val="4E4E460A"/>
    <w:rsid w:val="51137A1E"/>
    <w:rsid w:val="53365D02"/>
    <w:rsid w:val="54E821D6"/>
    <w:rsid w:val="551B600F"/>
    <w:rsid w:val="57C350CE"/>
    <w:rsid w:val="5906272D"/>
    <w:rsid w:val="5CF81C9B"/>
    <w:rsid w:val="5FF736C9"/>
    <w:rsid w:val="62BB164D"/>
    <w:rsid w:val="63FA31B9"/>
    <w:rsid w:val="6776461B"/>
    <w:rsid w:val="694345B7"/>
    <w:rsid w:val="6B601AF7"/>
    <w:rsid w:val="6D367FB7"/>
    <w:rsid w:val="6DCA6592"/>
    <w:rsid w:val="6E812690"/>
    <w:rsid w:val="70634848"/>
    <w:rsid w:val="7140429B"/>
    <w:rsid w:val="74005B3A"/>
    <w:rsid w:val="75176C51"/>
    <w:rsid w:val="76AC5BB1"/>
    <w:rsid w:val="78097F8A"/>
    <w:rsid w:val="79476DBE"/>
    <w:rsid w:val="79940814"/>
    <w:rsid w:val="79F63EF5"/>
    <w:rsid w:val="7EAFC68B"/>
    <w:rsid w:val="7F217B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iPriority="99"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ind w:right="28"/>
      <w:jc w:val="both"/>
    </w:pPr>
    <w:rPr>
      <w:rFonts w:ascii="Times New Roman" w:hAnsi="Times New Roman" w:eastAsia="仿宋_GB2312" w:cs="Times New Roman"/>
      <w:sz w:val="21"/>
      <w:lang w:val="en-US" w:eastAsia="zh-CN" w:bidi="ar-SA"/>
    </w:rPr>
  </w:style>
  <w:style w:type="paragraph" w:styleId="2">
    <w:name w:val="heading 1"/>
    <w:basedOn w:val="1"/>
    <w:next w:val="1"/>
    <w:link w:val="39"/>
    <w:qFormat/>
    <w:uiPriority w:val="1"/>
    <w:pPr>
      <w:autoSpaceDE w:val="0"/>
      <w:autoSpaceDN w:val="0"/>
      <w:adjustRightInd/>
      <w:spacing w:line="500" w:lineRule="exact"/>
      <w:ind w:left="1259" w:right="1335"/>
      <w:jc w:val="center"/>
      <w:outlineLvl w:val="0"/>
    </w:pPr>
    <w:rPr>
      <w:rFonts w:ascii="Noto Sans CJK JP Medium" w:hAnsi="Noto Sans CJK JP Medium" w:eastAsia="Noto Sans CJK JP Medium" w:cs="Noto Sans CJK JP Medium"/>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45"/>
    <w:qFormat/>
    <w:uiPriority w:val="99"/>
    <w:pPr>
      <w:adjustRightInd/>
      <w:spacing w:line="360" w:lineRule="auto"/>
      <w:ind w:right="0" w:firstLine="200" w:firstLineChars="200"/>
    </w:pPr>
    <w:rPr>
      <w:rFonts w:ascii="宋体" w:hAnsi="宋体" w:eastAsia="宋体"/>
      <w:kern w:val="2"/>
      <w:szCs w:val="24"/>
    </w:rPr>
  </w:style>
  <w:style w:type="paragraph" w:styleId="4">
    <w:name w:val="Document Map"/>
    <w:basedOn w:val="1"/>
    <w:link w:val="40"/>
    <w:semiHidden/>
    <w:unhideWhenUsed/>
    <w:qFormat/>
    <w:uiPriority w:val="0"/>
    <w:rPr>
      <w:rFonts w:ascii="宋体" w:eastAsia="宋体"/>
      <w:sz w:val="18"/>
      <w:szCs w:val="18"/>
    </w:rPr>
  </w:style>
  <w:style w:type="paragraph" w:styleId="5">
    <w:name w:val="annotation text"/>
    <w:basedOn w:val="1"/>
    <w:link w:val="30"/>
    <w:qFormat/>
    <w:uiPriority w:val="0"/>
    <w:pPr>
      <w:adjustRightInd/>
      <w:spacing w:line="240" w:lineRule="auto"/>
      <w:ind w:right="0"/>
      <w:jc w:val="left"/>
    </w:pPr>
    <w:rPr>
      <w:rFonts w:eastAsia="宋体"/>
      <w:kern w:val="2"/>
      <w:szCs w:val="24"/>
    </w:rPr>
  </w:style>
  <w:style w:type="paragraph" w:styleId="6">
    <w:name w:val="Body Text"/>
    <w:basedOn w:val="1"/>
    <w:link w:val="35"/>
    <w:unhideWhenUsed/>
    <w:qFormat/>
    <w:uiPriority w:val="0"/>
    <w:pPr>
      <w:spacing w:after="120"/>
    </w:pPr>
  </w:style>
  <w:style w:type="paragraph" w:styleId="7">
    <w:name w:val="Body Text Indent 2"/>
    <w:basedOn w:val="1"/>
    <w:unhideWhenUsed/>
    <w:qFormat/>
    <w:uiPriority w:val="99"/>
    <w:pPr>
      <w:spacing w:after="120" w:line="480" w:lineRule="auto"/>
      <w:ind w:left="420" w:leftChars="200"/>
    </w:pPr>
  </w:style>
  <w:style w:type="paragraph" w:styleId="8">
    <w:name w:val="Balloon Text"/>
    <w:basedOn w:val="1"/>
    <w:link w:val="24"/>
    <w:qFormat/>
    <w:uiPriority w:val="0"/>
    <w:pPr>
      <w:spacing w:line="240" w:lineRule="auto"/>
    </w:pPr>
    <w:rPr>
      <w:sz w:val="18"/>
      <w:szCs w:val="18"/>
    </w:rPr>
  </w:style>
  <w:style w:type="paragraph" w:styleId="9">
    <w:name w:val="footer"/>
    <w:basedOn w:val="1"/>
    <w:link w:val="25"/>
    <w:unhideWhenUsed/>
    <w:qFormat/>
    <w:uiPriority w:val="99"/>
    <w:pPr>
      <w:tabs>
        <w:tab w:val="center" w:pos="4153"/>
        <w:tab w:val="right" w:pos="8306"/>
      </w:tabs>
      <w:adjustRightInd/>
      <w:snapToGrid w:val="0"/>
      <w:spacing w:line="240" w:lineRule="auto"/>
      <w:ind w:right="0"/>
      <w:jc w:val="left"/>
    </w:pPr>
    <w:rPr>
      <w:rFonts w:asciiTheme="minorHAnsi" w:hAnsiTheme="minorHAnsi" w:eastAsiaTheme="minorEastAsia" w:cstheme="minorBidi"/>
      <w:kern w:val="2"/>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adjustRightInd/>
      <w:snapToGrid w:val="0"/>
      <w:spacing w:line="240" w:lineRule="auto"/>
      <w:ind w:right="0"/>
      <w:jc w:val="center"/>
    </w:pPr>
    <w:rPr>
      <w:rFonts w:asciiTheme="minorHAnsi" w:hAnsiTheme="minorHAnsi" w:eastAsiaTheme="minorEastAsia" w:cstheme="minorBidi"/>
      <w:kern w:val="2"/>
      <w:sz w:val="18"/>
      <w:szCs w:val="18"/>
    </w:rPr>
  </w:style>
  <w:style w:type="paragraph" w:styleId="11">
    <w:name w:val="toc 1"/>
    <w:basedOn w:val="1"/>
    <w:next w:val="1"/>
    <w:unhideWhenUsed/>
    <w:qFormat/>
    <w:uiPriority w:val="39"/>
  </w:style>
  <w:style w:type="paragraph" w:styleId="12">
    <w:name w:val="footnote text"/>
    <w:basedOn w:val="1"/>
    <w:link w:val="32"/>
    <w:qFormat/>
    <w:uiPriority w:val="0"/>
    <w:pPr>
      <w:adjustRightInd/>
      <w:snapToGrid w:val="0"/>
      <w:spacing w:line="240" w:lineRule="auto"/>
      <w:ind w:right="0"/>
      <w:jc w:val="left"/>
    </w:pPr>
    <w:rPr>
      <w:rFonts w:eastAsia="宋体"/>
      <w:kern w:val="2"/>
      <w:sz w:val="18"/>
      <w:szCs w:val="18"/>
    </w:rPr>
  </w:style>
  <w:style w:type="paragraph" w:styleId="13">
    <w:name w:val="toc 2"/>
    <w:basedOn w:val="1"/>
    <w:next w:val="1"/>
    <w:unhideWhenUsed/>
    <w:qFormat/>
    <w:uiPriority w:val="39"/>
    <w:pPr>
      <w:ind w:left="420" w:leftChars="200"/>
    </w:pPr>
  </w:style>
  <w:style w:type="paragraph" w:styleId="14">
    <w:name w:val="Normal (Web)"/>
    <w:basedOn w:val="1"/>
    <w:link w:val="27"/>
    <w:unhideWhenUsed/>
    <w:qFormat/>
    <w:uiPriority w:val="99"/>
    <w:pPr>
      <w:spacing w:before="100" w:beforeAutospacing="1" w:after="100" w:afterAutospacing="1"/>
      <w:ind w:right="0"/>
      <w:jc w:val="left"/>
    </w:pPr>
    <w:rPr>
      <w:sz w:val="24"/>
    </w:rPr>
  </w:style>
  <w:style w:type="paragraph" w:styleId="15">
    <w:name w:val="annotation subject"/>
    <w:basedOn w:val="5"/>
    <w:next w:val="5"/>
    <w:link w:val="31"/>
    <w:qFormat/>
    <w:uiPriority w:val="0"/>
    <w:rPr>
      <w:b/>
      <w:bCs/>
    </w:rPr>
  </w:style>
  <w:style w:type="table" w:styleId="17">
    <w:name w:val="Table Grid"/>
    <w:basedOn w:val="16"/>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page number"/>
    <w:basedOn w:val="18"/>
    <w:qFormat/>
    <w:uiPriority w:val="99"/>
  </w:style>
  <w:style w:type="character" w:styleId="21">
    <w:name w:val="Hyperlink"/>
    <w:basedOn w:val="18"/>
    <w:unhideWhenUsed/>
    <w:qFormat/>
    <w:uiPriority w:val="99"/>
    <w:rPr>
      <w:color w:val="0000FF"/>
      <w:u w:val="single"/>
    </w:rPr>
  </w:style>
  <w:style w:type="character" w:styleId="22">
    <w:name w:val="annotation reference"/>
    <w:qFormat/>
    <w:uiPriority w:val="0"/>
    <w:rPr>
      <w:sz w:val="21"/>
      <w:szCs w:val="21"/>
    </w:rPr>
  </w:style>
  <w:style w:type="character" w:styleId="23">
    <w:name w:val="footnote reference"/>
    <w:qFormat/>
    <w:uiPriority w:val="99"/>
    <w:rPr>
      <w:vertAlign w:val="superscript"/>
    </w:rPr>
  </w:style>
  <w:style w:type="character" w:customStyle="1" w:styleId="24">
    <w:name w:val="批注框文本 字符"/>
    <w:basedOn w:val="18"/>
    <w:link w:val="8"/>
    <w:qFormat/>
    <w:uiPriority w:val="0"/>
    <w:rPr>
      <w:rFonts w:ascii="Times New Roman" w:hAnsi="Times New Roman" w:eastAsia="仿宋_GB2312"/>
      <w:sz w:val="18"/>
      <w:szCs w:val="18"/>
    </w:rPr>
  </w:style>
  <w:style w:type="character" w:customStyle="1" w:styleId="25">
    <w:name w:val="页脚 字符"/>
    <w:link w:val="9"/>
    <w:qFormat/>
    <w:uiPriority w:val="99"/>
    <w:rPr>
      <w:rFonts w:asciiTheme="minorHAnsi" w:hAnsiTheme="minorHAnsi" w:eastAsiaTheme="minorEastAsia" w:cstheme="minorBidi"/>
      <w:kern w:val="2"/>
      <w:sz w:val="18"/>
      <w:szCs w:val="18"/>
    </w:rPr>
  </w:style>
  <w:style w:type="character" w:customStyle="1" w:styleId="26">
    <w:name w:val="页眉 字符"/>
    <w:link w:val="10"/>
    <w:qFormat/>
    <w:uiPriority w:val="99"/>
    <w:rPr>
      <w:rFonts w:asciiTheme="minorHAnsi" w:hAnsiTheme="minorHAnsi" w:eastAsiaTheme="minorEastAsia" w:cstheme="minorBidi"/>
      <w:kern w:val="2"/>
      <w:sz w:val="18"/>
      <w:szCs w:val="18"/>
    </w:rPr>
  </w:style>
  <w:style w:type="character" w:customStyle="1" w:styleId="27">
    <w:name w:val="普通(网站) 字符"/>
    <w:link w:val="14"/>
    <w:qFormat/>
    <w:uiPriority w:val="99"/>
    <w:rPr>
      <w:rFonts w:ascii="Times New Roman" w:hAnsi="Times New Roman" w:eastAsia="仿宋_GB2312"/>
      <w:sz w:val="24"/>
    </w:rPr>
  </w:style>
  <w:style w:type="paragraph" w:customStyle="1" w:styleId="28">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styleId="29">
    <w:name w:val="List Paragraph"/>
    <w:basedOn w:val="1"/>
    <w:qFormat/>
    <w:uiPriority w:val="34"/>
    <w:pPr>
      <w:adjustRightInd/>
      <w:spacing w:line="240" w:lineRule="auto"/>
      <w:ind w:right="0" w:firstLine="420" w:firstLineChars="200"/>
    </w:pPr>
    <w:rPr>
      <w:rFonts w:eastAsia="宋体"/>
      <w:kern w:val="2"/>
      <w:szCs w:val="24"/>
    </w:rPr>
  </w:style>
  <w:style w:type="character" w:customStyle="1" w:styleId="30">
    <w:name w:val="批注文字 字符"/>
    <w:basedOn w:val="18"/>
    <w:link w:val="5"/>
    <w:qFormat/>
    <w:uiPriority w:val="0"/>
    <w:rPr>
      <w:rFonts w:ascii="Times New Roman" w:hAnsi="Times New Roman"/>
      <w:kern w:val="2"/>
      <w:sz w:val="21"/>
      <w:szCs w:val="24"/>
    </w:rPr>
  </w:style>
  <w:style w:type="character" w:customStyle="1" w:styleId="31">
    <w:name w:val="批注主题 字符"/>
    <w:basedOn w:val="30"/>
    <w:link w:val="15"/>
    <w:qFormat/>
    <w:uiPriority w:val="0"/>
    <w:rPr>
      <w:rFonts w:ascii="Times New Roman" w:hAnsi="Times New Roman"/>
      <w:b/>
      <w:bCs/>
      <w:kern w:val="2"/>
      <w:sz w:val="21"/>
      <w:szCs w:val="24"/>
    </w:rPr>
  </w:style>
  <w:style w:type="character" w:customStyle="1" w:styleId="32">
    <w:name w:val="脚注文本 字符"/>
    <w:basedOn w:val="18"/>
    <w:link w:val="12"/>
    <w:qFormat/>
    <w:uiPriority w:val="0"/>
    <w:rPr>
      <w:rFonts w:ascii="Times New Roman" w:hAnsi="Times New Roman"/>
      <w:kern w:val="2"/>
      <w:sz w:val="18"/>
      <w:szCs w:val="18"/>
    </w:rPr>
  </w:style>
  <w:style w:type="paragraph" w:customStyle="1" w:styleId="33">
    <w:name w:val="p0"/>
    <w:basedOn w:val="1"/>
    <w:qFormat/>
    <w:uiPriority w:val="0"/>
    <w:pPr>
      <w:widowControl/>
      <w:adjustRightInd/>
      <w:spacing w:line="240" w:lineRule="auto"/>
      <w:ind w:right="0"/>
    </w:pPr>
    <w:rPr>
      <w:rFonts w:eastAsia="宋体"/>
      <w:szCs w:val="21"/>
    </w:rPr>
  </w:style>
  <w:style w:type="paragraph" w:customStyle="1" w:styleId="34">
    <w:name w:val="修订1"/>
    <w:hidden/>
    <w:unhideWhenUsed/>
    <w:qFormat/>
    <w:uiPriority w:val="99"/>
    <w:rPr>
      <w:rFonts w:ascii="Times New Roman" w:hAnsi="Times New Roman" w:eastAsia="仿宋_GB2312" w:cs="Times New Roman"/>
      <w:sz w:val="21"/>
      <w:lang w:val="en-US" w:eastAsia="zh-CN" w:bidi="ar-SA"/>
    </w:rPr>
  </w:style>
  <w:style w:type="character" w:customStyle="1" w:styleId="35">
    <w:name w:val="正文文本 字符"/>
    <w:basedOn w:val="18"/>
    <w:link w:val="6"/>
    <w:qFormat/>
    <w:uiPriority w:val="0"/>
    <w:rPr>
      <w:rFonts w:ascii="Times New Roman" w:hAnsi="Times New Roman" w:eastAsia="仿宋_GB2312"/>
      <w:sz w:val="21"/>
    </w:rPr>
  </w:style>
  <w:style w:type="paragraph" w:customStyle="1" w:styleId="36">
    <w:name w:val="Table Paragraph"/>
    <w:basedOn w:val="1"/>
    <w:qFormat/>
    <w:uiPriority w:val="1"/>
    <w:pPr>
      <w:autoSpaceDE w:val="0"/>
      <w:autoSpaceDN w:val="0"/>
      <w:adjustRightInd/>
      <w:spacing w:line="337" w:lineRule="exact"/>
      <w:ind w:left="107" w:right="0"/>
      <w:jc w:val="left"/>
    </w:pPr>
    <w:rPr>
      <w:rFonts w:ascii="Noto Sans Mono CJK JP Bold" w:hAnsi="Noto Sans Mono CJK JP Bold" w:eastAsia="Noto Sans Mono CJK JP Bold" w:cs="Noto Sans Mono CJK JP Bold"/>
      <w:sz w:val="22"/>
      <w:szCs w:val="22"/>
    </w:rPr>
  </w:style>
  <w:style w:type="table" w:customStyle="1" w:styleId="37">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8">
    <w:name w:val="Char Char Char Char Char Char Char Char Char Char Char Char"/>
    <w:basedOn w:val="1"/>
    <w:qFormat/>
    <w:uiPriority w:val="0"/>
    <w:pPr>
      <w:widowControl/>
      <w:adjustRightInd/>
      <w:spacing w:after="160" w:line="240" w:lineRule="exact"/>
      <w:ind w:right="0"/>
      <w:jc w:val="left"/>
    </w:pPr>
    <w:rPr>
      <w:rFonts w:ascii="Tahoma" w:hAnsi="Tahoma" w:eastAsia="宋体" w:cs="Tahoma"/>
      <w:kern w:val="2"/>
      <w:szCs w:val="21"/>
    </w:rPr>
  </w:style>
  <w:style w:type="character" w:customStyle="1" w:styleId="39">
    <w:name w:val="标题 1 字符"/>
    <w:basedOn w:val="18"/>
    <w:link w:val="2"/>
    <w:qFormat/>
    <w:uiPriority w:val="1"/>
    <w:rPr>
      <w:rFonts w:ascii="Noto Sans CJK JP Medium" w:hAnsi="Noto Sans CJK JP Medium" w:eastAsia="Noto Sans CJK JP Medium" w:cs="Noto Sans CJK JP Medium"/>
      <w:sz w:val="28"/>
      <w:szCs w:val="28"/>
    </w:rPr>
  </w:style>
  <w:style w:type="character" w:customStyle="1" w:styleId="40">
    <w:name w:val="文档结构图 字符"/>
    <w:basedOn w:val="18"/>
    <w:link w:val="4"/>
    <w:semiHidden/>
    <w:qFormat/>
    <w:uiPriority w:val="0"/>
    <w:rPr>
      <w:rFonts w:ascii="宋体" w:hAnsi="Times New Roman"/>
      <w:sz w:val="18"/>
      <w:szCs w:val="18"/>
    </w:rPr>
  </w:style>
  <w:style w:type="paragraph" w:customStyle="1" w:styleId="41">
    <w:name w:val="default"/>
    <w:basedOn w:val="1"/>
    <w:qFormat/>
    <w:uiPriority w:val="0"/>
    <w:pPr>
      <w:widowControl/>
      <w:adjustRightInd/>
      <w:spacing w:before="100" w:beforeAutospacing="1" w:after="100" w:afterAutospacing="1" w:line="240" w:lineRule="auto"/>
      <w:ind w:right="0"/>
      <w:jc w:val="left"/>
    </w:pPr>
    <w:rPr>
      <w:rFonts w:ascii="宋体" w:hAnsi="宋体" w:eastAsia="宋体" w:cs="宋体"/>
      <w:sz w:val="24"/>
      <w:szCs w:val="24"/>
    </w:rPr>
  </w:style>
  <w:style w:type="paragraph" w:customStyle="1" w:styleId="42">
    <w:name w:val="TOC 标题1"/>
    <w:basedOn w:val="2"/>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color w:val="2E75B6" w:themeColor="accent1" w:themeShade="BF"/>
      <w:sz w:val="32"/>
      <w:szCs w:val="32"/>
    </w:rPr>
  </w:style>
  <w:style w:type="paragraph" w:customStyle="1" w:styleId="43">
    <w:name w:val="修订2"/>
    <w:hidden/>
    <w:semiHidden/>
    <w:qFormat/>
    <w:uiPriority w:val="99"/>
    <w:rPr>
      <w:rFonts w:ascii="Times New Roman" w:hAnsi="Times New Roman" w:eastAsia="仿宋_GB2312" w:cs="Times New Roman"/>
      <w:sz w:val="21"/>
      <w:lang w:val="en-US" w:eastAsia="zh-CN" w:bidi="ar-SA"/>
    </w:rPr>
  </w:style>
  <w:style w:type="paragraph" w:customStyle="1" w:styleId="44">
    <w:name w:val="Revision"/>
    <w:hidden/>
    <w:semiHidden/>
    <w:qFormat/>
    <w:uiPriority w:val="99"/>
    <w:rPr>
      <w:rFonts w:ascii="Times New Roman" w:hAnsi="Times New Roman" w:eastAsia="仿宋_GB2312" w:cs="Times New Roman"/>
      <w:sz w:val="21"/>
      <w:lang w:val="en-US" w:eastAsia="zh-CN" w:bidi="ar-SA"/>
    </w:rPr>
  </w:style>
  <w:style w:type="character" w:customStyle="1" w:styleId="45">
    <w:name w:val="正文缩进 字符"/>
    <w:link w:val="3"/>
    <w:qFormat/>
    <w:uiPriority w:val="99"/>
    <w:rPr>
      <w:rFonts w:ascii="宋体" w:hAnsi="宋体"/>
      <w:kern w:val="2"/>
      <w:sz w:val="21"/>
      <w:szCs w:val="24"/>
    </w:rPr>
  </w:style>
  <w:style w:type="character" w:styleId="46">
    <w:name w:val="Placeholder Text"/>
    <w:basedOn w:val="18"/>
    <w:semiHidden/>
    <w:qFormat/>
    <w:uiPriority w:val="99"/>
    <w:rPr>
      <w:color w:val="808080"/>
    </w:rPr>
  </w:style>
  <w:style w:type="character" w:customStyle="1" w:styleId="47">
    <w:name w:val="样式1"/>
    <w:basedOn w:val="18"/>
    <w:qFormat/>
    <w:uiPriority w:val="1"/>
    <w:rPr>
      <w:b/>
    </w:rPr>
  </w:style>
  <w:style w:type="character" w:customStyle="1" w:styleId="48">
    <w:name w:val="样式2"/>
    <w:basedOn w:val="18"/>
    <w:uiPriority w:val="1"/>
    <w:rPr>
      <w:rFonts w:eastAsia="宋体"/>
      <w:b/>
      <w:sz w:val="21"/>
    </w:rPr>
  </w:style>
  <w:style w:type="character" w:customStyle="1" w:styleId="49">
    <w:name w:val="样式3"/>
    <w:basedOn w:val="18"/>
    <w:qFormat/>
    <w:uiPriority w:val="1"/>
    <w:rPr>
      <w:rFonts w:eastAsia="宋体"/>
      <w:b/>
      <w:color w:val="auto"/>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ns30="http://schemas.openxmlformats.org/officeDocument/2006/bibliography" xmlns:wp="http://schemas.openxmlformats.org/drawingml/2006/wordprocessingDrawing" xmlns:ns12="http://schemas.openxmlformats.org/drawingml/2006/chartDrawing" xmlns:odi="http://opendope.org/components" xmlns:pic="http://schemas.openxmlformats.org/drawingml/2006/picture" xmlns:xdr="http://schemas.openxmlformats.org/drawingml/2006/spreadsheetDrawing" xmlns:wne="http://schemas.microsoft.com/office/word/2006/wordml" xmlns:dsp="http://schemas.microsoft.com/office/drawing/2008/diagram" xmlns:ns18="urn:schemas-microsoft-com:office:excel" xmlns:a="http://schemas.openxmlformats.org/drawingml/2006/main" xmlns:c="http://schemas.openxmlformats.org/drawingml/2006/chart" xmlns:odq="http://opendope.org/questions" xmlns:mc="http://schemas.openxmlformats.org/markup-compatibility/2006" xmlns:ns8="http://schemas.openxmlformats.org/schemaLibrary/2006/main" xmlns:odgm="http://opendope.org/SmartArt/DataHierarchy" xmlns:odx="http://opendope.org/xpaths" xmlns:m="http://schemas.openxmlformats.org/officeDocument/2006/math" xmlns:w10="urn:schemas-microsoft-com:office:word" xmlns:o="urn:schemas-microsoft-com:office:office" xmlns:w14="http://schemas.microsoft.com/office/word/2010/wordml" xmlns:r="http://schemas.openxmlformats.org/officeDocument/2006/relationships" xmlns:ns31="http://schemas.openxmlformats.org/drawingml/2006/compatibility" xmlns:w15="http://schemas.microsoft.com/office/word/2012/wordml" xmlns:ns32="http://schemas.openxmlformats.org/drawingml/2006/lockedCanvas" xmlns:v="urn:schemas-microsoft-com:vml" xmlns:w="http://schemas.openxmlformats.org/wordprocessingml/2006/main" xmlns:ns21="urn:schemas-microsoft-com:office:powerpoint" xmlns:oda="http://opendope.org/answers" xmlns:ns23="http://schemas.microsoft.com/office/2006/coverPageProps" xmlns:odc="http://opendope.org/conditions" xmlns:dgm="http://schemas.openxmlformats.org/drawingml/2006/diagram" SelectedStyle="\APA.XSL" StyleName="APA"/>
</file>

<file path=customXml/itemProps1.xml><?xml version="1.0" encoding="utf-8"?>
<ds:datastoreItem xmlns:ds="http://schemas.openxmlformats.org/officeDocument/2006/customXml" ds:itemID="{793F05FF-D93A-4A76-A20B-EC6382C82FF5}">
  <ds:schemaRefs/>
</ds:datastoreItem>
</file>

<file path=docProps/app.xml><?xml version="1.0" encoding="utf-8"?>
<Properties xmlns="http://schemas.openxmlformats.org/officeDocument/2006/extended-properties" xmlns:vt="http://schemas.openxmlformats.org/officeDocument/2006/docPropsVTypes">
  <Template>Normal.dotm</Template>
  <Pages>33</Pages>
  <Words>4719</Words>
  <Characters>26901</Characters>
  <Lines>224</Lines>
  <Paragraphs>63</Paragraphs>
  <TotalTime>1</TotalTime>
  <ScaleCrop>false</ScaleCrop>
  <LinksUpToDate>false</LinksUpToDate>
  <CharactersWithSpaces>31557</CharactersWithSpaces>
  <Application>WPS Office_11.8.2.12356_F1E327BC-269C-435d-A152-05C5408002CA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2024-05-23T17:36:00Z</dcterms:created>
  <dc:creator>庞晓天</dc:creator>
  <cp:lastModifiedBy>12094197</cp:lastModifiedBy>
  <cp:lastPrinted>2021-04-09T15:32:00Z</cp:lastPrinted>
  <dcterms:modified xsi:type="dcterms:W3CDTF">2026-06-04T10:04:14Z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2052-11.8.2.12356</vt:lpwstr>
  </property>
  <property fmtid="{D5CDD505-2E9C-101B-9397-08002B2CF9AE}" pid="3" name="ICV">
    <vt:lpwstr>3525179DC8A8477C1EDD206A6DCFA105</vt:lpwstr>
  </property>
</Properties>
</file>